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726"/>
      </w:tblGrid>
      <w:tr w:rsidR="002508D4" w:rsidTr="002508D4">
        <w:tc>
          <w:tcPr>
            <w:tcW w:w="2346" w:type="dxa"/>
          </w:tcPr>
          <w:p w:rsidR="002508D4" w:rsidRDefault="002508D4" w:rsidP="002508D4">
            <w:pPr>
              <w:jc w:val="center"/>
              <w:rPr>
                <w:rFonts w:ascii="Arial" w:hAnsi="Arial" w:cs="Arial"/>
                <w:sz w:val="20"/>
                <w:szCs w:val="20"/>
              </w:rPr>
            </w:pPr>
            <w:r w:rsidRPr="002508D4">
              <w:rPr>
                <w:noProof/>
                <w:lang w:eastAsia="fr-FR"/>
              </w:rPr>
              <w:drawing>
                <wp:inline distT="0" distB="0" distL="0" distR="0">
                  <wp:extent cx="1352550" cy="914874"/>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7" cstate="print"/>
                          <a:srcRect l="45883"/>
                          <a:stretch/>
                        </pic:blipFill>
                        <pic:spPr>
                          <a:xfrm>
                            <a:off x="0" y="0"/>
                            <a:ext cx="1356678" cy="917666"/>
                          </a:xfrm>
                          <a:prstGeom prst="rect">
                            <a:avLst/>
                          </a:prstGeom>
                        </pic:spPr>
                      </pic:pic>
                    </a:graphicData>
                  </a:graphic>
                </wp:inline>
              </w:drawing>
            </w:r>
            <w:r w:rsidRPr="005B2903">
              <w:rPr>
                <w:rFonts w:ascii="Arial" w:hAnsi="Arial" w:cs="Arial"/>
                <w:b/>
                <w:sz w:val="28"/>
                <w:szCs w:val="20"/>
              </w:rPr>
              <w:t xml:space="preserve"> </w:t>
            </w:r>
          </w:p>
          <w:p w:rsidR="002508D4" w:rsidRDefault="002508D4" w:rsidP="002508D4">
            <w:pPr>
              <w:rPr>
                <w:rFonts w:ascii="Arial" w:hAnsi="Arial" w:cs="Arial"/>
                <w:sz w:val="20"/>
                <w:szCs w:val="20"/>
              </w:rPr>
            </w:pPr>
          </w:p>
        </w:tc>
        <w:tc>
          <w:tcPr>
            <w:tcW w:w="6726" w:type="dxa"/>
          </w:tcPr>
          <w:p w:rsidR="002508D4" w:rsidRDefault="002508D4" w:rsidP="002508D4">
            <w:pPr>
              <w:jc w:val="center"/>
              <w:rPr>
                <w:rFonts w:ascii="Arial" w:hAnsi="Arial" w:cs="Arial"/>
                <w:b/>
                <w:sz w:val="28"/>
                <w:szCs w:val="20"/>
              </w:rPr>
            </w:pPr>
          </w:p>
          <w:p w:rsidR="002508D4" w:rsidRPr="005B2903" w:rsidRDefault="002508D4" w:rsidP="002508D4">
            <w:pPr>
              <w:jc w:val="center"/>
              <w:rPr>
                <w:rFonts w:ascii="Arial" w:hAnsi="Arial" w:cs="Arial"/>
                <w:b/>
                <w:sz w:val="28"/>
                <w:szCs w:val="20"/>
              </w:rPr>
            </w:pPr>
            <w:r w:rsidRPr="005B2903">
              <w:rPr>
                <w:rFonts w:ascii="Arial" w:hAnsi="Arial" w:cs="Arial"/>
                <w:b/>
                <w:sz w:val="28"/>
                <w:szCs w:val="20"/>
              </w:rPr>
              <w:t>Coalition stratégique COP21</w:t>
            </w:r>
          </w:p>
          <w:p w:rsidR="002508D4" w:rsidRDefault="002508D4" w:rsidP="00CB78F3">
            <w:pPr>
              <w:jc w:val="center"/>
              <w:rPr>
                <w:rFonts w:ascii="Arial" w:hAnsi="Arial" w:cs="Arial"/>
                <w:sz w:val="20"/>
                <w:szCs w:val="20"/>
              </w:rPr>
            </w:pPr>
            <w:r w:rsidRPr="005B2903">
              <w:rPr>
                <w:rFonts w:ascii="Arial" w:hAnsi="Arial" w:cs="Arial"/>
                <w:b/>
                <w:sz w:val="28"/>
                <w:szCs w:val="20"/>
              </w:rPr>
              <w:t>« </w:t>
            </w:r>
            <w:r w:rsidR="00CB78F3">
              <w:rPr>
                <w:rFonts w:ascii="Arial" w:hAnsi="Arial" w:cs="Arial"/>
                <w:b/>
                <w:sz w:val="28"/>
                <w:szCs w:val="20"/>
              </w:rPr>
              <w:t>Mobilité des individus</w:t>
            </w:r>
            <w:r w:rsidRPr="005B2903">
              <w:rPr>
                <w:rFonts w:ascii="Arial" w:hAnsi="Arial" w:cs="Arial"/>
                <w:b/>
                <w:sz w:val="28"/>
                <w:szCs w:val="20"/>
              </w:rPr>
              <w:t xml:space="preserve"> : </w:t>
            </w:r>
            <w:r w:rsidR="00CB78F3">
              <w:rPr>
                <w:rFonts w:ascii="Arial" w:hAnsi="Arial" w:cs="Arial"/>
                <w:b/>
                <w:sz w:val="28"/>
                <w:szCs w:val="20"/>
              </w:rPr>
              <w:t>favoriser le passage à l’acte</w:t>
            </w:r>
            <w:r w:rsidRPr="005B2903">
              <w:rPr>
                <w:rFonts w:ascii="Arial" w:hAnsi="Arial" w:cs="Arial"/>
                <w:b/>
                <w:sz w:val="28"/>
                <w:szCs w:val="20"/>
              </w:rPr>
              <w:t> »</w:t>
            </w:r>
          </w:p>
        </w:tc>
      </w:tr>
    </w:tbl>
    <w:p w:rsidR="005C4A9E" w:rsidRDefault="005C4A9E" w:rsidP="00CB78F3">
      <w:pPr>
        <w:jc w:val="both"/>
        <w:rPr>
          <w:rFonts w:ascii="Arial" w:hAnsi="Arial" w:cs="Arial"/>
          <w:i/>
          <w:sz w:val="20"/>
          <w:szCs w:val="20"/>
        </w:rPr>
      </w:pPr>
      <w:r w:rsidRPr="00640A22">
        <w:rPr>
          <w:rFonts w:ascii="Arial" w:hAnsi="Arial" w:cs="Arial"/>
          <w:i/>
          <w:sz w:val="20"/>
          <w:szCs w:val="20"/>
        </w:rPr>
        <w:t>Cet</w:t>
      </w:r>
      <w:r w:rsidR="00CB78F3">
        <w:rPr>
          <w:rFonts w:ascii="Arial" w:hAnsi="Arial" w:cs="Arial"/>
          <w:i/>
          <w:sz w:val="20"/>
          <w:szCs w:val="20"/>
        </w:rPr>
        <w:t>te coalition réunit les acteurs de la mobilité des personnes</w:t>
      </w:r>
      <w:r w:rsidR="00640A22" w:rsidRPr="00640A22">
        <w:rPr>
          <w:rFonts w:ascii="Arial" w:hAnsi="Arial" w:cs="Arial"/>
          <w:i/>
          <w:sz w:val="20"/>
          <w:szCs w:val="20"/>
        </w:rPr>
        <w:t xml:space="preserve"> (</w:t>
      </w:r>
      <w:r w:rsidR="00CB78F3">
        <w:rPr>
          <w:rFonts w:ascii="Arial" w:hAnsi="Arial" w:cs="Arial"/>
          <w:i/>
          <w:sz w:val="20"/>
          <w:szCs w:val="20"/>
        </w:rPr>
        <w:t>exploitants des transports en commun</w:t>
      </w:r>
      <w:r w:rsidR="00640A22" w:rsidRPr="00640A22">
        <w:rPr>
          <w:rFonts w:ascii="Arial" w:hAnsi="Arial" w:cs="Arial"/>
          <w:i/>
          <w:sz w:val="20"/>
          <w:szCs w:val="20"/>
        </w:rPr>
        <w:t xml:space="preserve">, </w:t>
      </w:r>
      <w:r w:rsidR="003863DA">
        <w:rPr>
          <w:rFonts w:ascii="Arial" w:hAnsi="Arial" w:cs="Arial"/>
          <w:i/>
          <w:sz w:val="20"/>
          <w:szCs w:val="20"/>
        </w:rPr>
        <w:t xml:space="preserve">représentants des taxis, </w:t>
      </w:r>
      <w:r w:rsidR="00A24CEF" w:rsidRPr="003863DA">
        <w:rPr>
          <w:rFonts w:ascii="Arial" w:hAnsi="Arial" w:cs="Arial"/>
          <w:i/>
          <w:sz w:val="20"/>
          <w:szCs w:val="20"/>
        </w:rPr>
        <w:t>opérateurs</w:t>
      </w:r>
      <w:r w:rsidR="00A24CEF">
        <w:rPr>
          <w:rFonts w:ascii="Arial" w:hAnsi="Arial" w:cs="Arial"/>
          <w:i/>
          <w:color w:val="FF0000"/>
          <w:sz w:val="20"/>
          <w:szCs w:val="20"/>
        </w:rPr>
        <w:t xml:space="preserve"> </w:t>
      </w:r>
      <w:r w:rsidR="00CB78F3">
        <w:rPr>
          <w:rFonts w:ascii="Arial" w:hAnsi="Arial" w:cs="Arial"/>
          <w:i/>
          <w:sz w:val="20"/>
          <w:szCs w:val="20"/>
        </w:rPr>
        <w:t xml:space="preserve">de solutions de mobilité, associations, entreprises ou administrations ayant mis en place des plans de déplacements, pôles de compétitivité, entreprises du </w:t>
      </w:r>
      <w:r w:rsidR="00CB78F3" w:rsidRPr="003863DA">
        <w:rPr>
          <w:rFonts w:ascii="Arial" w:hAnsi="Arial" w:cs="Arial"/>
          <w:i/>
          <w:sz w:val="20"/>
          <w:szCs w:val="20"/>
        </w:rPr>
        <w:t>transport</w:t>
      </w:r>
      <w:r w:rsidR="00A24CEF" w:rsidRPr="003863DA">
        <w:rPr>
          <w:rFonts w:ascii="Arial" w:hAnsi="Arial" w:cs="Arial"/>
          <w:i/>
          <w:sz w:val="20"/>
          <w:szCs w:val="20"/>
        </w:rPr>
        <w:t>, associations</w:t>
      </w:r>
      <w:r w:rsidR="00CB78F3">
        <w:rPr>
          <w:rFonts w:ascii="Arial" w:hAnsi="Arial" w:cs="Arial"/>
          <w:i/>
          <w:sz w:val="20"/>
          <w:szCs w:val="20"/>
        </w:rPr>
        <w:t>…</w:t>
      </w:r>
      <w:r w:rsidR="00640A22" w:rsidRPr="00640A22">
        <w:rPr>
          <w:rFonts w:ascii="Arial" w:hAnsi="Arial" w:cs="Arial"/>
          <w:i/>
          <w:sz w:val="20"/>
          <w:szCs w:val="20"/>
        </w:rPr>
        <w:t>)</w:t>
      </w:r>
      <w:r w:rsidR="00640A22">
        <w:rPr>
          <w:rFonts w:ascii="Arial" w:hAnsi="Arial" w:cs="Arial"/>
          <w:i/>
          <w:sz w:val="20"/>
          <w:szCs w:val="20"/>
        </w:rPr>
        <w:t xml:space="preserve">. Elle a pour objectif de définir la feuille de route de mobilisation des acteurs du territoire dans le domaine </w:t>
      </w:r>
      <w:r w:rsidR="00CB78F3">
        <w:rPr>
          <w:rFonts w:ascii="Arial" w:hAnsi="Arial" w:cs="Arial"/>
          <w:i/>
          <w:sz w:val="20"/>
          <w:szCs w:val="20"/>
        </w:rPr>
        <w:t>de la mobilité des individus</w:t>
      </w:r>
      <w:r w:rsidR="00640A22">
        <w:rPr>
          <w:rFonts w:ascii="Arial" w:hAnsi="Arial" w:cs="Arial"/>
          <w:i/>
          <w:sz w:val="20"/>
          <w:szCs w:val="20"/>
        </w:rPr>
        <w:t>, domaine identifié par la Métropole comme un axe d’action important dans la transition énergétique sur le territoire. Il s’agit notamment :</w:t>
      </w:r>
    </w:p>
    <w:p w:rsidR="00640A22" w:rsidRDefault="00640A22" w:rsidP="00CB78F3">
      <w:pPr>
        <w:pStyle w:val="Paragraphedeliste"/>
        <w:numPr>
          <w:ilvl w:val="0"/>
          <w:numId w:val="17"/>
        </w:numPr>
        <w:rPr>
          <w:rFonts w:ascii="Arial" w:hAnsi="Arial" w:cs="Arial"/>
          <w:i/>
          <w:szCs w:val="20"/>
        </w:rPr>
      </w:pPr>
      <w:r>
        <w:rPr>
          <w:rFonts w:ascii="Arial" w:hAnsi="Arial" w:cs="Arial"/>
          <w:i/>
          <w:szCs w:val="20"/>
        </w:rPr>
        <w:t>De déterminer des leviers d’actions pour massifier l’action dans ce domaine</w:t>
      </w:r>
    </w:p>
    <w:p w:rsidR="00640A22" w:rsidRDefault="00640A22" w:rsidP="00CB78F3">
      <w:pPr>
        <w:pStyle w:val="Paragraphedeliste"/>
        <w:numPr>
          <w:ilvl w:val="0"/>
          <w:numId w:val="17"/>
        </w:numPr>
        <w:rPr>
          <w:rFonts w:ascii="Arial" w:hAnsi="Arial" w:cs="Arial"/>
          <w:i/>
          <w:szCs w:val="20"/>
        </w:rPr>
      </w:pPr>
      <w:r>
        <w:rPr>
          <w:rFonts w:ascii="Arial" w:hAnsi="Arial" w:cs="Arial"/>
          <w:i/>
          <w:szCs w:val="20"/>
        </w:rPr>
        <w:t>D’identifier l’action attendue des différents acteurs</w:t>
      </w:r>
    </w:p>
    <w:p w:rsidR="00640A22" w:rsidRDefault="00640A22" w:rsidP="00CB78F3">
      <w:pPr>
        <w:pStyle w:val="Paragraphedeliste"/>
        <w:numPr>
          <w:ilvl w:val="0"/>
          <w:numId w:val="17"/>
        </w:numPr>
        <w:rPr>
          <w:rFonts w:ascii="Arial" w:hAnsi="Arial" w:cs="Arial"/>
          <w:i/>
          <w:szCs w:val="20"/>
        </w:rPr>
      </w:pPr>
      <w:r>
        <w:rPr>
          <w:rFonts w:ascii="Arial" w:hAnsi="Arial" w:cs="Arial"/>
          <w:i/>
          <w:szCs w:val="20"/>
        </w:rPr>
        <w:t>De fixer une feuille de route collective</w:t>
      </w:r>
    </w:p>
    <w:p w:rsidR="00AD3B64" w:rsidRPr="00640A22" w:rsidRDefault="00AD3B64" w:rsidP="00CB78F3">
      <w:pPr>
        <w:pStyle w:val="Paragraphedeliste"/>
        <w:numPr>
          <w:ilvl w:val="0"/>
          <w:numId w:val="17"/>
        </w:numPr>
        <w:rPr>
          <w:rFonts w:ascii="Arial" w:hAnsi="Arial" w:cs="Arial"/>
          <w:i/>
          <w:szCs w:val="20"/>
        </w:rPr>
      </w:pPr>
      <w:r>
        <w:rPr>
          <w:rFonts w:ascii="Arial" w:hAnsi="Arial" w:cs="Arial"/>
          <w:i/>
          <w:szCs w:val="20"/>
        </w:rPr>
        <w:t xml:space="preserve">De synthétiser ces trois éléments dans un « appel » aux acteurs concernés pour susciter leur engagement </w:t>
      </w:r>
    </w:p>
    <w:p w:rsidR="00640A22" w:rsidRDefault="00640A22">
      <w:pPr>
        <w:rPr>
          <w:rFonts w:ascii="Arial" w:hAnsi="Arial" w:cs="Arial"/>
          <w:i/>
          <w:sz w:val="20"/>
          <w:szCs w:val="20"/>
        </w:rPr>
      </w:pPr>
    </w:p>
    <w:p w:rsidR="002508D4" w:rsidRPr="00640A22" w:rsidRDefault="002508D4">
      <w:pPr>
        <w:rPr>
          <w:rFonts w:ascii="Arial" w:hAnsi="Arial" w:cs="Arial"/>
          <w:i/>
          <w:sz w:val="20"/>
          <w:szCs w:val="20"/>
        </w:rPr>
      </w:pPr>
    </w:p>
    <w:p w:rsidR="00106971" w:rsidRPr="005B2903" w:rsidRDefault="00106971">
      <w:pPr>
        <w:rPr>
          <w:rFonts w:ascii="Arial" w:hAnsi="Arial" w:cs="Arial"/>
          <w:b/>
          <w:sz w:val="24"/>
          <w:szCs w:val="20"/>
        </w:rPr>
      </w:pPr>
      <w:r w:rsidRPr="005B2903">
        <w:rPr>
          <w:rFonts w:ascii="Arial" w:hAnsi="Arial" w:cs="Arial"/>
          <w:b/>
          <w:sz w:val="24"/>
          <w:szCs w:val="20"/>
        </w:rPr>
        <w:t>1/ Objectifs stratégiques et plan d’action du PCAET</w:t>
      </w:r>
    </w:p>
    <w:p w:rsidR="001B6CCD" w:rsidRPr="005B2903" w:rsidRDefault="00D4117A" w:rsidP="001B6CCD">
      <w:pPr>
        <w:jc w:val="both"/>
        <w:rPr>
          <w:rFonts w:ascii="Arial" w:hAnsi="Arial" w:cs="Arial"/>
          <w:b/>
          <w:sz w:val="20"/>
          <w:szCs w:val="20"/>
          <w:lang w:eastAsia="fr-FR"/>
        </w:rPr>
      </w:pPr>
      <w:r w:rsidRPr="005B2903">
        <w:rPr>
          <w:rFonts w:ascii="Arial" w:hAnsi="Arial" w:cs="Arial"/>
          <w:b/>
          <w:sz w:val="20"/>
          <w:szCs w:val="20"/>
          <w:lang w:eastAsia="fr-FR"/>
        </w:rPr>
        <w:t>La Métropole a pour ambition d’accompagner le territoire vers un modèle « 100 % </w:t>
      </w:r>
      <w:r w:rsidR="00B976EA">
        <w:rPr>
          <w:rFonts w:ascii="Arial" w:hAnsi="Arial" w:cs="Arial"/>
          <w:b/>
          <w:sz w:val="20"/>
          <w:szCs w:val="20"/>
          <w:lang w:eastAsia="fr-FR"/>
        </w:rPr>
        <w:t>Energie renouvelable</w:t>
      </w:r>
      <w:r w:rsidRPr="005B2903">
        <w:rPr>
          <w:rFonts w:ascii="Arial" w:hAnsi="Arial" w:cs="Arial"/>
          <w:b/>
          <w:sz w:val="20"/>
          <w:szCs w:val="20"/>
          <w:lang w:eastAsia="fr-FR"/>
        </w:rPr>
        <w:t> » et de réduire de 80% les émissions de gaz à effet de serre à l’horizon 2050</w:t>
      </w:r>
      <w:r w:rsidR="00E576F8" w:rsidRPr="005B2903">
        <w:rPr>
          <w:rFonts w:ascii="Arial" w:hAnsi="Arial" w:cs="Arial"/>
          <w:b/>
          <w:sz w:val="20"/>
          <w:szCs w:val="20"/>
          <w:lang w:eastAsia="fr-FR"/>
        </w:rPr>
        <w:t xml:space="preserve">. </w:t>
      </w:r>
    </w:p>
    <w:p w:rsidR="00237FD4" w:rsidRPr="00237FD4" w:rsidRDefault="00237FD4" w:rsidP="00237FD4">
      <w:pPr>
        <w:jc w:val="both"/>
        <w:rPr>
          <w:rFonts w:ascii="Arial" w:hAnsi="Arial" w:cs="Arial"/>
          <w:sz w:val="20"/>
          <w:szCs w:val="20"/>
          <w:lang w:eastAsia="fr-FR"/>
        </w:rPr>
      </w:pPr>
      <w:r w:rsidRPr="00237FD4">
        <w:rPr>
          <w:rFonts w:ascii="Arial" w:hAnsi="Arial" w:cs="Arial"/>
          <w:sz w:val="20"/>
          <w:szCs w:val="20"/>
          <w:lang w:eastAsia="fr-FR"/>
        </w:rPr>
        <w:t>Au travers de son PCAET, elle s’engage également à contribuer à l’amélioration de la qualité de l’air sur son territoire et vise une réduction des émissions des deux principaux polluants identifiés dans le Plan de Protection de l’Atmosphère de la Seine Maritime et de l’Eure : le dioxyde d’azote (NO2) et les particules fines (PM10 et PM2.5).</w:t>
      </w:r>
      <w:r>
        <w:rPr>
          <w:rFonts w:ascii="Arial" w:hAnsi="Arial" w:cs="Arial"/>
          <w:sz w:val="20"/>
          <w:szCs w:val="20"/>
          <w:lang w:eastAsia="fr-FR"/>
        </w:rPr>
        <w:t xml:space="preserve"> L’objectif est l’</w:t>
      </w:r>
      <w:r w:rsidRPr="00237FD4">
        <w:rPr>
          <w:rFonts w:ascii="Arial" w:hAnsi="Arial" w:cs="Arial"/>
          <w:sz w:val="20"/>
          <w:szCs w:val="20"/>
          <w:lang w:eastAsia="fr-FR"/>
        </w:rPr>
        <w:t>atteinte des recommandations de l’OMS en termes de concentration de polluants atmosphériques à l’horizon 2030.</w:t>
      </w:r>
    </w:p>
    <w:p w:rsidR="00237FD4" w:rsidRDefault="00237FD4" w:rsidP="00237FD4">
      <w:pPr>
        <w:jc w:val="both"/>
        <w:rPr>
          <w:rFonts w:ascii="Arial" w:hAnsi="Arial" w:cs="Arial"/>
          <w:sz w:val="20"/>
          <w:szCs w:val="20"/>
          <w:lang w:eastAsia="fr-FR"/>
        </w:rPr>
      </w:pPr>
      <w:r w:rsidRPr="003859EF">
        <w:rPr>
          <w:rFonts w:ascii="Arial" w:hAnsi="Arial" w:cs="Arial"/>
          <w:sz w:val="20"/>
          <w:szCs w:val="20"/>
          <w:lang w:eastAsia="fr-FR"/>
        </w:rPr>
        <w:t xml:space="preserve">Avec </w:t>
      </w:r>
      <w:r w:rsidR="003863DA">
        <w:rPr>
          <w:rFonts w:ascii="Arial" w:hAnsi="Arial" w:cs="Arial"/>
          <w:sz w:val="20"/>
          <w:szCs w:val="20"/>
          <w:lang w:eastAsia="fr-FR"/>
        </w:rPr>
        <w:t>1,7</w:t>
      </w:r>
      <w:r w:rsidR="003859EF" w:rsidRPr="003859EF">
        <w:rPr>
          <w:rFonts w:ascii="Arial" w:hAnsi="Arial" w:cs="Arial"/>
          <w:sz w:val="20"/>
          <w:szCs w:val="20"/>
          <w:lang w:eastAsia="fr-FR"/>
        </w:rPr>
        <w:t xml:space="preserve"> millions de </w:t>
      </w:r>
      <w:r w:rsidRPr="001E0617">
        <w:rPr>
          <w:rFonts w:ascii="Arial" w:hAnsi="Arial" w:cs="Arial"/>
          <w:sz w:val="20"/>
          <w:szCs w:val="20"/>
          <w:lang w:eastAsia="fr-FR"/>
        </w:rPr>
        <w:t>déplacements au quotidien sur le territoire de la Métropole, la mobilité des individus représente un enjeu central dans le succès de la transition énergétique et écologique du territoire.</w:t>
      </w:r>
    </w:p>
    <w:p w:rsidR="001E0617" w:rsidRPr="003863DA" w:rsidRDefault="001E0617" w:rsidP="001E0617">
      <w:pPr>
        <w:jc w:val="both"/>
        <w:rPr>
          <w:rFonts w:ascii="Arial" w:hAnsi="Arial" w:cs="Arial"/>
          <w:sz w:val="20"/>
          <w:szCs w:val="20"/>
          <w:lang w:eastAsia="fr-FR"/>
        </w:rPr>
      </w:pPr>
      <w:r w:rsidRPr="001E0617">
        <w:rPr>
          <w:rFonts w:ascii="Arial" w:hAnsi="Arial" w:cs="Arial"/>
          <w:sz w:val="20"/>
          <w:szCs w:val="20"/>
          <w:lang w:eastAsia="fr-FR"/>
        </w:rPr>
        <w:t>Ce secteur d’activité est en effet responsable de 22 % des émissions de gaz à effet de serre et représente le 1er secteur émetteur d’oxydes d’azote sur le territoire de la Métropole (52% en 2014). Marqué par l’avène</w:t>
      </w:r>
      <w:r w:rsidR="003863DA">
        <w:rPr>
          <w:rFonts w:ascii="Arial" w:hAnsi="Arial" w:cs="Arial"/>
          <w:sz w:val="20"/>
          <w:szCs w:val="20"/>
          <w:lang w:eastAsia="fr-FR"/>
        </w:rPr>
        <w:t>ment d’une mobilité carbo</w:t>
      </w:r>
      <w:r w:rsidRPr="001E0617">
        <w:rPr>
          <w:rFonts w:ascii="Arial" w:hAnsi="Arial" w:cs="Arial"/>
          <w:sz w:val="20"/>
          <w:szCs w:val="20"/>
          <w:lang w:eastAsia="fr-FR"/>
        </w:rPr>
        <w:t xml:space="preserve">née depuis la révolution industrielle, le secteur des </w:t>
      </w:r>
      <w:r w:rsidRPr="003863DA">
        <w:rPr>
          <w:rFonts w:ascii="Arial" w:hAnsi="Arial" w:cs="Arial"/>
          <w:sz w:val="20"/>
          <w:szCs w:val="20"/>
          <w:lang w:eastAsia="fr-FR"/>
        </w:rPr>
        <w:t>transports présente pareillement une forte dépendance énergétique aux produits pétroliers.</w:t>
      </w:r>
    </w:p>
    <w:p w:rsidR="00B12682" w:rsidRPr="003863DA" w:rsidRDefault="00B12682" w:rsidP="00B12682">
      <w:pPr>
        <w:jc w:val="both"/>
        <w:rPr>
          <w:rFonts w:ascii="Arial" w:hAnsi="Arial" w:cs="Arial"/>
          <w:sz w:val="20"/>
          <w:szCs w:val="20"/>
          <w:lang w:eastAsia="fr-FR"/>
        </w:rPr>
      </w:pPr>
      <w:r w:rsidRPr="003863DA">
        <w:rPr>
          <w:rFonts w:ascii="Arial" w:hAnsi="Arial" w:cs="Arial"/>
          <w:sz w:val="20"/>
          <w:szCs w:val="20"/>
          <w:lang w:eastAsia="fr-FR"/>
        </w:rPr>
        <w:t xml:space="preserve">Dans ce contexte, l’enjeu pour la mobilité de demain réside dans la capacité </w:t>
      </w:r>
      <w:r w:rsidR="00A24CEF" w:rsidRPr="003863DA">
        <w:rPr>
          <w:rFonts w:ascii="Arial" w:hAnsi="Arial" w:cs="Arial"/>
          <w:sz w:val="20"/>
          <w:szCs w:val="20"/>
          <w:lang w:eastAsia="fr-FR"/>
        </w:rPr>
        <w:t>à minimiser la place encore trop importante de la voiture individuelle (</w:t>
      </w:r>
      <w:proofErr w:type="spellStart"/>
      <w:r w:rsidR="00A24CEF" w:rsidRPr="003863DA">
        <w:rPr>
          <w:rFonts w:ascii="Arial" w:hAnsi="Arial" w:cs="Arial"/>
          <w:sz w:val="20"/>
          <w:szCs w:val="20"/>
          <w:lang w:eastAsia="fr-FR"/>
        </w:rPr>
        <w:t>autosolisme</w:t>
      </w:r>
      <w:proofErr w:type="spellEnd"/>
      <w:r w:rsidR="00A24CEF" w:rsidRPr="003863DA">
        <w:rPr>
          <w:rFonts w:ascii="Arial" w:hAnsi="Arial" w:cs="Arial"/>
          <w:sz w:val="20"/>
          <w:szCs w:val="20"/>
          <w:lang w:eastAsia="fr-FR"/>
        </w:rPr>
        <w:t xml:space="preserve">) en favorisant et facilitant l’émergence de modes de transport plus propres, </w:t>
      </w:r>
      <w:r w:rsidRPr="003863DA">
        <w:rPr>
          <w:rFonts w:ascii="Arial" w:hAnsi="Arial" w:cs="Arial"/>
          <w:sz w:val="20"/>
          <w:szCs w:val="20"/>
          <w:lang w:eastAsia="fr-FR"/>
        </w:rPr>
        <w:t xml:space="preserve">la </w:t>
      </w:r>
      <w:proofErr w:type="spellStart"/>
      <w:r w:rsidRPr="003863DA">
        <w:rPr>
          <w:rFonts w:ascii="Arial" w:hAnsi="Arial" w:cs="Arial"/>
          <w:sz w:val="20"/>
          <w:szCs w:val="20"/>
          <w:lang w:eastAsia="fr-FR"/>
        </w:rPr>
        <w:t>multimodalité</w:t>
      </w:r>
      <w:proofErr w:type="spellEnd"/>
      <w:r w:rsidRPr="003863DA">
        <w:rPr>
          <w:rFonts w:ascii="Arial" w:hAnsi="Arial" w:cs="Arial"/>
          <w:sz w:val="20"/>
          <w:szCs w:val="20"/>
          <w:lang w:eastAsia="fr-FR"/>
        </w:rPr>
        <w:t xml:space="preserve"> (choix du mode de déplacement) et l’intermodalité (combinaison des modes) afin de répondre à la complexité et à l’imprévisibilité des déplacements, avec la perspective de promouvoir l’usage de modes de déplacement altern</w:t>
      </w:r>
      <w:r w:rsidR="00A24CEF" w:rsidRPr="003863DA">
        <w:rPr>
          <w:rFonts w:ascii="Arial" w:hAnsi="Arial" w:cs="Arial"/>
          <w:sz w:val="20"/>
          <w:szCs w:val="20"/>
          <w:lang w:eastAsia="fr-FR"/>
        </w:rPr>
        <w:t>atifs à la voiture individuelle et d’accompagner ce changement.</w:t>
      </w:r>
    </w:p>
    <w:p w:rsidR="00B12682" w:rsidRPr="00B12682" w:rsidRDefault="00B12682" w:rsidP="00B12682">
      <w:pPr>
        <w:jc w:val="both"/>
        <w:rPr>
          <w:rFonts w:ascii="Arial" w:hAnsi="Arial" w:cs="Arial"/>
          <w:sz w:val="20"/>
          <w:szCs w:val="20"/>
          <w:lang w:eastAsia="fr-FR"/>
        </w:rPr>
      </w:pPr>
      <w:r w:rsidRPr="00B12682">
        <w:rPr>
          <w:rFonts w:ascii="Arial" w:hAnsi="Arial" w:cs="Arial"/>
          <w:sz w:val="20"/>
          <w:szCs w:val="20"/>
          <w:lang w:eastAsia="fr-FR"/>
        </w:rPr>
        <w:t xml:space="preserve">Cette ambition se traduit par un objectif d’évolution de la part modale des déplacements qui vise la </w:t>
      </w:r>
      <w:r w:rsidRPr="00B12682">
        <w:rPr>
          <w:rFonts w:ascii="Arial" w:hAnsi="Arial" w:cs="Arial"/>
          <w:b/>
          <w:sz w:val="20"/>
          <w:szCs w:val="20"/>
          <w:lang w:eastAsia="fr-FR"/>
        </w:rPr>
        <w:t>réalisation d’un déplacement sur deux en mode alternatif à la voiture particulière (marche à pied, vélo, transport en commun) à horizon 2030</w:t>
      </w:r>
      <w:r w:rsidRPr="00B12682">
        <w:rPr>
          <w:rFonts w:ascii="Arial" w:hAnsi="Arial" w:cs="Arial"/>
          <w:sz w:val="20"/>
          <w:szCs w:val="20"/>
          <w:lang w:eastAsia="fr-FR"/>
        </w:rPr>
        <w:t>.</w:t>
      </w:r>
    </w:p>
    <w:p w:rsidR="001E0617" w:rsidRDefault="001E0617" w:rsidP="00B976EA">
      <w:pPr>
        <w:jc w:val="both"/>
        <w:rPr>
          <w:rFonts w:ascii="Arial" w:hAnsi="Arial" w:cs="Arial"/>
          <w:sz w:val="20"/>
          <w:szCs w:val="20"/>
          <w:lang w:eastAsia="fr-FR"/>
        </w:rPr>
      </w:pPr>
    </w:p>
    <w:p w:rsidR="003F1814" w:rsidRDefault="005B2903" w:rsidP="00B12682">
      <w:pPr>
        <w:jc w:val="both"/>
        <w:rPr>
          <w:rFonts w:ascii="Arial" w:hAnsi="Arial" w:cs="Arial"/>
          <w:sz w:val="20"/>
          <w:szCs w:val="20"/>
          <w:lang w:eastAsia="fr-FR"/>
        </w:rPr>
      </w:pPr>
      <w:r w:rsidRPr="005B2903">
        <w:rPr>
          <w:rFonts w:ascii="Arial" w:hAnsi="Arial" w:cs="Arial"/>
          <w:sz w:val="20"/>
          <w:szCs w:val="20"/>
          <w:lang w:eastAsia="fr-FR"/>
        </w:rPr>
        <w:t>Les engagements pris par la Métropole dans le cadre de son Plan Climat Air Energie Territorial</w:t>
      </w:r>
      <w:r w:rsidR="00B976EA">
        <w:rPr>
          <w:rFonts w:ascii="Arial" w:hAnsi="Arial" w:cs="Arial"/>
          <w:sz w:val="20"/>
          <w:szCs w:val="20"/>
          <w:lang w:eastAsia="fr-FR"/>
        </w:rPr>
        <w:t xml:space="preserve"> (PCAET)</w:t>
      </w:r>
      <w:r w:rsidRPr="005B2903">
        <w:rPr>
          <w:rFonts w:ascii="Arial" w:hAnsi="Arial" w:cs="Arial"/>
          <w:sz w:val="20"/>
          <w:szCs w:val="20"/>
          <w:lang w:eastAsia="fr-FR"/>
        </w:rPr>
        <w:t xml:space="preserve"> portent sur les actions suivantes :</w:t>
      </w:r>
    </w:p>
    <w:p w:rsidR="00E16AF0" w:rsidRPr="003863DA" w:rsidRDefault="00E16AF0" w:rsidP="00B12682">
      <w:pPr>
        <w:pStyle w:val="Paragraphedeliste"/>
        <w:numPr>
          <w:ilvl w:val="0"/>
          <w:numId w:val="19"/>
        </w:numPr>
        <w:rPr>
          <w:rFonts w:ascii="Arial" w:hAnsi="Arial" w:cs="Arial"/>
          <w:color w:val="auto"/>
          <w:szCs w:val="20"/>
          <w:lang w:eastAsia="fr-FR"/>
        </w:rPr>
      </w:pPr>
      <w:r w:rsidRPr="003863DA">
        <w:rPr>
          <w:rFonts w:ascii="Arial" w:hAnsi="Arial" w:cs="Arial"/>
          <w:b/>
          <w:color w:val="auto"/>
          <w:szCs w:val="20"/>
          <w:lang w:eastAsia="fr-FR"/>
        </w:rPr>
        <w:t xml:space="preserve">Apaiser : </w:t>
      </w:r>
      <w:r w:rsidRPr="003863DA">
        <w:rPr>
          <w:rFonts w:ascii="Arial" w:hAnsi="Arial" w:cs="Arial"/>
          <w:color w:val="auto"/>
          <w:szCs w:val="20"/>
          <w:lang w:eastAsia="fr-FR"/>
        </w:rPr>
        <w:t>abaisser les vitesses, sécuriser et faciliter les déplacements à vélo, travailler sur le partage de l’espace public en faveur des modes doux</w:t>
      </w:r>
    </w:p>
    <w:p w:rsidR="001E0617" w:rsidRPr="00B12682" w:rsidRDefault="001E0617" w:rsidP="00B12682">
      <w:pPr>
        <w:pStyle w:val="Paragraphedeliste"/>
        <w:numPr>
          <w:ilvl w:val="0"/>
          <w:numId w:val="19"/>
        </w:numPr>
        <w:rPr>
          <w:rFonts w:ascii="Arial" w:hAnsi="Arial" w:cs="Arial"/>
          <w:szCs w:val="20"/>
          <w:lang w:eastAsia="fr-FR"/>
        </w:rPr>
      </w:pPr>
      <w:r w:rsidRPr="00B12682">
        <w:rPr>
          <w:rFonts w:ascii="Arial" w:hAnsi="Arial" w:cs="Arial"/>
          <w:b/>
          <w:szCs w:val="20"/>
          <w:lang w:eastAsia="fr-FR"/>
        </w:rPr>
        <w:t>Diversifier</w:t>
      </w:r>
      <w:r w:rsidRPr="00B12682">
        <w:rPr>
          <w:rFonts w:ascii="Arial" w:hAnsi="Arial" w:cs="Arial"/>
          <w:szCs w:val="20"/>
          <w:lang w:eastAsia="fr-FR"/>
        </w:rPr>
        <w:t xml:space="preserve"> : favoriser la complémentarité des différents modes de transport au regard des contraintes </w:t>
      </w:r>
      <w:r w:rsidR="00B12682">
        <w:rPr>
          <w:rFonts w:ascii="Arial" w:hAnsi="Arial" w:cs="Arial"/>
          <w:szCs w:val="20"/>
          <w:lang w:eastAsia="fr-FR"/>
        </w:rPr>
        <w:t>et des logiques de déplacement.</w:t>
      </w:r>
    </w:p>
    <w:p w:rsidR="001E0617" w:rsidRPr="00B12682" w:rsidRDefault="001E0617" w:rsidP="00B12682">
      <w:pPr>
        <w:pStyle w:val="Paragraphedeliste"/>
        <w:numPr>
          <w:ilvl w:val="0"/>
          <w:numId w:val="19"/>
        </w:numPr>
        <w:rPr>
          <w:rFonts w:ascii="Arial" w:hAnsi="Arial" w:cs="Arial"/>
          <w:szCs w:val="20"/>
          <w:lang w:eastAsia="fr-FR"/>
        </w:rPr>
      </w:pPr>
      <w:r w:rsidRPr="00B12682">
        <w:rPr>
          <w:rFonts w:ascii="Arial" w:hAnsi="Arial" w:cs="Arial"/>
          <w:b/>
          <w:szCs w:val="20"/>
          <w:lang w:eastAsia="fr-FR"/>
        </w:rPr>
        <w:t>Connecter</w:t>
      </w:r>
      <w:r w:rsidRPr="00B12682">
        <w:rPr>
          <w:rFonts w:ascii="Arial" w:hAnsi="Arial" w:cs="Arial"/>
          <w:szCs w:val="20"/>
          <w:lang w:eastAsia="fr-FR"/>
        </w:rPr>
        <w:t xml:space="preserve"> : rendre </w:t>
      </w:r>
      <w:proofErr w:type="spellStart"/>
      <w:r w:rsidRPr="00B12682">
        <w:rPr>
          <w:rFonts w:ascii="Arial" w:hAnsi="Arial" w:cs="Arial"/>
          <w:szCs w:val="20"/>
          <w:lang w:eastAsia="fr-FR"/>
        </w:rPr>
        <w:t>inter-opérables</w:t>
      </w:r>
      <w:proofErr w:type="spellEnd"/>
      <w:r w:rsidRPr="00B12682">
        <w:rPr>
          <w:rFonts w:ascii="Arial" w:hAnsi="Arial" w:cs="Arial"/>
          <w:szCs w:val="20"/>
          <w:lang w:eastAsia="fr-FR"/>
        </w:rPr>
        <w:t xml:space="preserve"> les réseaux et les modes de transports dans leur double di</w:t>
      </w:r>
      <w:r w:rsidR="00B12682">
        <w:rPr>
          <w:rFonts w:ascii="Arial" w:hAnsi="Arial" w:cs="Arial"/>
          <w:szCs w:val="20"/>
          <w:lang w:eastAsia="fr-FR"/>
        </w:rPr>
        <w:t>mensions physique et numérique.</w:t>
      </w:r>
    </w:p>
    <w:p w:rsidR="002508D4" w:rsidRPr="00B12682" w:rsidRDefault="001E0617" w:rsidP="00B12682">
      <w:pPr>
        <w:pStyle w:val="Paragraphedeliste"/>
        <w:numPr>
          <w:ilvl w:val="0"/>
          <w:numId w:val="19"/>
        </w:numPr>
        <w:rPr>
          <w:rFonts w:ascii="Arial" w:hAnsi="Arial" w:cs="Arial"/>
          <w:szCs w:val="20"/>
          <w:lang w:eastAsia="fr-FR"/>
        </w:rPr>
      </w:pPr>
      <w:r w:rsidRPr="00B12682">
        <w:rPr>
          <w:rFonts w:ascii="Arial" w:hAnsi="Arial" w:cs="Arial"/>
          <w:b/>
          <w:szCs w:val="20"/>
          <w:lang w:eastAsia="fr-FR"/>
        </w:rPr>
        <w:t>Partager </w:t>
      </w:r>
      <w:r w:rsidRPr="00B12682">
        <w:rPr>
          <w:rFonts w:ascii="Arial" w:hAnsi="Arial" w:cs="Arial"/>
          <w:szCs w:val="20"/>
          <w:lang w:eastAsia="fr-FR"/>
        </w:rPr>
        <w:t>: encourager le partage des véhicules particuliers et favoriser un mix énergétique durable pou</w:t>
      </w:r>
      <w:r w:rsidR="00B12682">
        <w:rPr>
          <w:rFonts w:ascii="Arial" w:hAnsi="Arial" w:cs="Arial"/>
          <w:szCs w:val="20"/>
          <w:lang w:eastAsia="fr-FR"/>
        </w:rPr>
        <w:t>r les énergies de motorisation.</w:t>
      </w:r>
    </w:p>
    <w:p w:rsidR="002508D4" w:rsidRPr="005B2903" w:rsidRDefault="002508D4" w:rsidP="00B12682">
      <w:pPr>
        <w:jc w:val="both"/>
        <w:rPr>
          <w:rFonts w:ascii="Arial" w:hAnsi="Arial" w:cs="Arial"/>
          <w:sz w:val="20"/>
          <w:szCs w:val="20"/>
        </w:rPr>
      </w:pPr>
    </w:p>
    <w:p w:rsidR="003F1814" w:rsidRPr="003B04A1" w:rsidRDefault="003F1814" w:rsidP="003F1814">
      <w:pPr>
        <w:rPr>
          <w:rFonts w:ascii="Arial" w:hAnsi="Arial" w:cs="Arial"/>
          <w:b/>
          <w:sz w:val="24"/>
          <w:szCs w:val="20"/>
        </w:rPr>
      </w:pPr>
      <w:r w:rsidRPr="003B04A1">
        <w:rPr>
          <w:rFonts w:ascii="Arial" w:hAnsi="Arial" w:cs="Arial"/>
          <w:b/>
          <w:sz w:val="24"/>
          <w:szCs w:val="20"/>
        </w:rPr>
        <w:t>2/</w:t>
      </w:r>
      <w:r w:rsidR="00B976EA" w:rsidRPr="003B04A1">
        <w:rPr>
          <w:rFonts w:ascii="Arial" w:hAnsi="Arial" w:cs="Arial"/>
          <w:b/>
          <w:sz w:val="24"/>
          <w:szCs w:val="20"/>
        </w:rPr>
        <w:t xml:space="preserve"> </w:t>
      </w:r>
      <w:r w:rsidRPr="003B04A1">
        <w:rPr>
          <w:rFonts w:ascii="Arial" w:hAnsi="Arial" w:cs="Arial"/>
          <w:b/>
          <w:sz w:val="24"/>
          <w:szCs w:val="20"/>
        </w:rPr>
        <w:t>Mobilisation des acteurs du territoire</w:t>
      </w:r>
    </w:p>
    <w:p w:rsidR="00B976EA" w:rsidRDefault="00B976EA" w:rsidP="00B12682">
      <w:pPr>
        <w:jc w:val="both"/>
        <w:rPr>
          <w:rFonts w:ascii="Arial" w:hAnsi="Arial" w:cs="Arial"/>
          <w:sz w:val="20"/>
          <w:szCs w:val="20"/>
        </w:rPr>
      </w:pPr>
      <w:r>
        <w:rPr>
          <w:rFonts w:ascii="Arial" w:hAnsi="Arial" w:cs="Arial"/>
          <w:sz w:val="20"/>
          <w:szCs w:val="20"/>
        </w:rPr>
        <w:t>De nombreuses entreprises, communes ou administrations démarchées dans le cadre de la COP21 rédigent actuellement leur feuille d’engagement. Il s’agit d’un engagement à mettre en place</w:t>
      </w:r>
      <w:r w:rsidR="009F7293">
        <w:rPr>
          <w:rFonts w:ascii="Arial" w:hAnsi="Arial" w:cs="Arial"/>
          <w:sz w:val="20"/>
          <w:szCs w:val="20"/>
        </w:rPr>
        <w:t>,</w:t>
      </w:r>
      <w:r>
        <w:rPr>
          <w:rFonts w:ascii="Arial" w:hAnsi="Arial" w:cs="Arial"/>
          <w:sz w:val="20"/>
          <w:szCs w:val="20"/>
        </w:rPr>
        <w:t xml:space="preserve"> de nouvelles actions au-delà de ce qu’elles ont déjà fait ces dernières années. </w:t>
      </w:r>
    </w:p>
    <w:p w:rsidR="00B976EA" w:rsidRDefault="00B976EA" w:rsidP="00B12682">
      <w:pPr>
        <w:jc w:val="both"/>
        <w:rPr>
          <w:rFonts w:ascii="Arial" w:hAnsi="Arial" w:cs="Arial"/>
          <w:sz w:val="20"/>
          <w:szCs w:val="20"/>
        </w:rPr>
      </w:pPr>
      <w:r>
        <w:rPr>
          <w:rFonts w:ascii="Arial" w:hAnsi="Arial" w:cs="Arial"/>
          <w:sz w:val="20"/>
          <w:szCs w:val="20"/>
        </w:rPr>
        <w:t xml:space="preserve">Dans le domaine </w:t>
      </w:r>
      <w:r w:rsidR="00B12682">
        <w:rPr>
          <w:rFonts w:ascii="Arial" w:hAnsi="Arial" w:cs="Arial"/>
          <w:sz w:val="20"/>
          <w:szCs w:val="20"/>
        </w:rPr>
        <w:t>de la mobilité durable</w:t>
      </w:r>
      <w:r w:rsidR="00D84FD5">
        <w:rPr>
          <w:rFonts w:ascii="Arial" w:hAnsi="Arial" w:cs="Arial"/>
          <w:sz w:val="20"/>
          <w:szCs w:val="20"/>
        </w:rPr>
        <w:t>,</w:t>
      </w:r>
      <w:r>
        <w:rPr>
          <w:rFonts w:ascii="Arial" w:hAnsi="Arial" w:cs="Arial"/>
          <w:sz w:val="20"/>
          <w:szCs w:val="20"/>
        </w:rPr>
        <w:t xml:space="preserve"> ces actions portent </w:t>
      </w:r>
      <w:r w:rsidR="00D84FD5">
        <w:rPr>
          <w:rFonts w:ascii="Arial" w:hAnsi="Arial" w:cs="Arial"/>
          <w:sz w:val="20"/>
          <w:szCs w:val="20"/>
        </w:rPr>
        <w:t xml:space="preserve">principalement </w:t>
      </w:r>
      <w:r>
        <w:rPr>
          <w:rFonts w:ascii="Arial" w:hAnsi="Arial" w:cs="Arial"/>
          <w:sz w:val="20"/>
          <w:szCs w:val="20"/>
        </w:rPr>
        <w:t xml:space="preserve">sur </w:t>
      </w:r>
      <w:r w:rsidRPr="005B2903">
        <w:rPr>
          <w:rFonts w:ascii="Arial" w:hAnsi="Arial" w:cs="Arial"/>
          <w:sz w:val="20"/>
          <w:szCs w:val="20"/>
        </w:rPr>
        <w:t>:</w:t>
      </w:r>
    </w:p>
    <w:p w:rsidR="00B12682" w:rsidRPr="006B690B" w:rsidRDefault="00B12682" w:rsidP="006B690B">
      <w:pPr>
        <w:pStyle w:val="Paragraphedeliste"/>
        <w:numPr>
          <w:ilvl w:val="0"/>
          <w:numId w:val="19"/>
        </w:numPr>
        <w:rPr>
          <w:rFonts w:ascii="Arial" w:hAnsi="Arial" w:cs="Arial"/>
          <w:szCs w:val="20"/>
          <w:lang w:eastAsia="fr-FR"/>
        </w:rPr>
      </w:pPr>
      <w:r w:rsidRPr="006B690B">
        <w:rPr>
          <w:rFonts w:ascii="Arial" w:hAnsi="Arial" w:cs="Arial"/>
          <w:szCs w:val="20"/>
          <w:lang w:eastAsia="fr-FR"/>
        </w:rPr>
        <w:t>Actions en faveur du co-voiturage</w:t>
      </w:r>
    </w:p>
    <w:p w:rsidR="006B690B" w:rsidRDefault="00B12682" w:rsidP="006B690B">
      <w:pPr>
        <w:pStyle w:val="Paragraphedeliste"/>
        <w:numPr>
          <w:ilvl w:val="0"/>
          <w:numId w:val="19"/>
        </w:numPr>
        <w:rPr>
          <w:rFonts w:ascii="Arial" w:hAnsi="Arial" w:cs="Arial"/>
          <w:szCs w:val="20"/>
          <w:lang w:eastAsia="fr-FR"/>
        </w:rPr>
      </w:pPr>
      <w:r w:rsidRPr="006B690B">
        <w:rPr>
          <w:rFonts w:ascii="Arial" w:hAnsi="Arial" w:cs="Arial"/>
          <w:szCs w:val="20"/>
          <w:lang w:eastAsia="fr-FR"/>
        </w:rPr>
        <w:t xml:space="preserve">Flotte </w:t>
      </w:r>
      <w:r w:rsidR="006B690B">
        <w:rPr>
          <w:rFonts w:ascii="Arial" w:hAnsi="Arial" w:cs="Arial"/>
          <w:szCs w:val="20"/>
          <w:lang w:eastAsia="fr-FR"/>
        </w:rPr>
        <w:t xml:space="preserve">de </w:t>
      </w:r>
      <w:r w:rsidRPr="006B690B">
        <w:rPr>
          <w:rFonts w:ascii="Arial" w:hAnsi="Arial" w:cs="Arial"/>
          <w:szCs w:val="20"/>
          <w:lang w:eastAsia="fr-FR"/>
        </w:rPr>
        <w:t>véhicule</w:t>
      </w:r>
      <w:r w:rsidR="006B690B">
        <w:rPr>
          <w:rFonts w:ascii="Arial" w:hAnsi="Arial" w:cs="Arial"/>
          <w:szCs w:val="20"/>
          <w:lang w:eastAsia="fr-FR"/>
        </w:rPr>
        <w:t>s</w:t>
      </w:r>
      <w:r w:rsidRPr="006B690B">
        <w:rPr>
          <w:rFonts w:ascii="Arial" w:hAnsi="Arial" w:cs="Arial"/>
          <w:szCs w:val="20"/>
          <w:lang w:eastAsia="fr-FR"/>
        </w:rPr>
        <w:t xml:space="preserve"> :</w:t>
      </w:r>
      <w:r w:rsidR="006B690B">
        <w:rPr>
          <w:rFonts w:ascii="Arial" w:hAnsi="Arial" w:cs="Arial"/>
          <w:szCs w:val="20"/>
          <w:lang w:eastAsia="fr-FR"/>
        </w:rPr>
        <w:t xml:space="preserve"> a</w:t>
      </w:r>
      <w:r w:rsidRPr="006B690B">
        <w:rPr>
          <w:rFonts w:ascii="Arial" w:hAnsi="Arial" w:cs="Arial"/>
          <w:szCs w:val="20"/>
          <w:lang w:eastAsia="fr-FR"/>
        </w:rPr>
        <w:t xml:space="preserve">chat de véhicules propres, </w:t>
      </w:r>
    </w:p>
    <w:p w:rsidR="006B690B" w:rsidRPr="006B690B" w:rsidRDefault="006B690B" w:rsidP="006B690B">
      <w:pPr>
        <w:pStyle w:val="Paragraphedeliste"/>
        <w:numPr>
          <w:ilvl w:val="0"/>
          <w:numId w:val="19"/>
        </w:numPr>
        <w:rPr>
          <w:rFonts w:ascii="Arial" w:hAnsi="Arial" w:cs="Arial"/>
          <w:szCs w:val="20"/>
          <w:lang w:eastAsia="fr-FR"/>
        </w:rPr>
      </w:pPr>
      <w:r>
        <w:rPr>
          <w:rFonts w:ascii="Arial" w:hAnsi="Arial" w:cs="Arial"/>
          <w:szCs w:val="20"/>
          <w:lang w:eastAsia="fr-FR"/>
        </w:rPr>
        <w:t xml:space="preserve">Flotte de véhicules : </w:t>
      </w:r>
      <w:r w:rsidR="00B12682" w:rsidRPr="006B690B">
        <w:rPr>
          <w:rFonts w:ascii="Arial" w:hAnsi="Arial" w:cs="Arial"/>
          <w:szCs w:val="20"/>
          <w:lang w:eastAsia="fr-FR"/>
        </w:rPr>
        <w:t xml:space="preserve">travail sur </w:t>
      </w:r>
      <w:r>
        <w:rPr>
          <w:rFonts w:ascii="Arial" w:hAnsi="Arial" w:cs="Arial"/>
          <w:szCs w:val="20"/>
          <w:lang w:eastAsia="fr-FR"/>
        </w:rPr>
        <w:t xml:space="preserve">les </w:t>
      </w:r>
      <w:r w:rsidR="00B12682" w:rsidRPr="006B690B">
        <w:rPr>
          <w:rFonts w:ascii="Arial" w:hAnsi="Arial" w:cs="Arial"/>
          <w:szCs w:val="20"/>
          <w:lang w:eastAsia="fr-FR"/>
        </w:rPr>
        <w:t>usage</w:t>
      </w:r>
      <w:r>
        <w:rPr>
          <w:rFonts w:ascii="Arial" w:hAnsi="Arial" w:cs="Arial"/>
          <w:szCs w:val="20"/>
          <w:lang w:eastAsia="fr-FR"/>
        </w:rPr>
        <w:t>s</w:t>
      </w:r>
      <w:r w:rsidR="00B12682" w:rsidRPr="006B690B">
        <w:rPr>
          <w:rFonts w:ascii="Arial" w:hAnsi="Arial" w:cs="Arial"/>
          <w:szCs w:val="20"/>
          <w:lang w:eastAsia="fr-FR"/>
        </w:rPr>
        <w:t xml:space="preserve"> et </w:t>
      </w:r>
      <w:r>
        <w:rPr>
          <w:rFonts w:ascii="Arial" w:hAnsi="Arial" w:cs="Arial"/>
          <w:szCs w:val="20"/>
          <w:lang w:eastAsia="fr-FR"/>
        </w:rPr>
        <w:t xml:space="preserve">la </w:t>
      </w:r>
      <w:r w:rsidR="00B12682" w:rsidRPr="006B690B">
        <w:rPr>
          <w:rFonts w:ascii="Arial" w:hAnsi="Arial" w:cs="Arial"/>
          <w:szCs w:val="20"/>
          <w:lang w:eastAsia="fr-FR"/>
        </w:rPr>
        <w:t>quantité de véhicules</w:t>
      </w:r>
    </w:p>
    <w:p w:rsidR="006B690B" w:rsidRPr="006B690B" w:rsidRDefault="00B12682" w:rsidP="006B690B">
      <w:pPr>
        <w:pStyle w:val="Paragraphedeliste"/>
        <w:numPr>
          <w:ilvl w:val="0"/>
          <w:numId w:val="19"/>
        </w:numPr>
        <w:rPr>
          <w:rFonts w:ascii="Arial" w:hAnsi="Arial" w:cs="Arial"/>
          <w:szCs w:val="20"/>
          <w:lang w:eastAsia="fr-FR"/>
        </w:rPr>
      </w:pPr>
      <w:r w:rsidRPr="006B690B">
        <w:rPr>
          <w:rFonts w:ascii="Arial" w:hAnsi="Arial" w:cs="Arial"/>
          <w:szCs w:val="20"/>
          <w:lang w:eastAsia="fr-FR"/>
        </w:rPr>
        <w:t>P</w:t>
      </w:r>
      <w:r w:rsidR="006B690B">
        <w:rPr>
          <w:rFonts w:ascii="Arial" w:hAnsi="Arial" w:cs="Arial"/>
          <w:szCs w:val="20"/>
          <w:lang w:eastAsia="fr-FR"/>
        </w:rPr>
        <w:t xml:space="preserve">lan de </w:t>
      </w:r>
      <w:r w:rsidRPr="006B690B">
        <w:rPr>
          <w:rFonts w:ascii="Arial" w:hAnsi="Arial" w:cs="Arial"/>
          <w:szCs w:val="20"/>
          <w:lang w:eastAsia="fr-FR"/>
        </w:rPr>
        <w:t>D</w:t>
      </w:r>
      <w:r w:rsidR="006B690B">
        <w:rPr>
          <w:rFonts w:ascii="Arial" w:hAnsi="Arial" w:cs="Arial"/>
          <w:szCs w:val="20"/>
          <w:lang w:eastAsia="fr-FR"/>
        </w:rPr>
        <w:t>éplacements d’</w:t>
      </w:r>
      <w:r w:rsidRPr="006B690B">
        <w:rPr>
          <w:rFonts w:ascii="Arial" w:hAnsi="Arial" w:cs="Arial"/>
          <w:szCs w:val="20"/>
          <w:lang w:eastAsia="fr-FR"/>
        </w:rPr>
        <w:t>E</w:t>
      </w:r>
      <w:r w:rsidR="006B690B">
        <w:rPr>
          <w:rFonts w:ascii="Arial" w:hAnsi="Arial" w:cs="Arial"/>
          <w:szCs w:val="20"/>
          <w:lang w:eastAsia="fr-FR"/>
        </w:rPr>
        <w:t>ntreprise ou d’Administration</w:t>
      </w:r>
      <w:r w:rsidRPr="006B690B">
        <w:rPr>
          <w:rFonts w:ascii="Arial" w:hAnsi="Arial" w:cs="Arial"/>
          <w:szCs w:val="20"/>
          <w:lang w:eastAsia="fr-FR"/>
        </w:rPr>
        <w:t xml:space="preserve"> : mise en place ou actualisation</w:t>
      </w:r>
    </w:p>
    <w:p w:rsidR="005112C1" w:rsidRDefault="00B12682" w:rsidP="006B690B">
      <w:pPr>
        <w:pStyle w:val="Paragraphedeliste"/>
        <w:numPr>
          <w:ilvl w:val="0"/>
          <w:numId w:val="19"/>
        </w:numPr>
        <w:rPr>
          <w:rFonts w:ascii="Arial" w:hAnsi="Arial" w:cs="Arial"/>
          <w:szCs w:val="20"/>
          <w:lang w:eastAsia="fr-FR"/>
        </w:rPr>
      </w:pPr>
      <w:r w:rsidRPr="006B690B">
        <w:rPr>
          <w:rFonts w:ascii="Arial" w:hAnsi="Arial" w:cs="Arial"/>
          <w:szCs w:val="20"/>
          <w:lang w:eastAsia="fr-FR"/>
        </w:rPr>
        <w:t xml:space="preserve">Investissements </w:t>
      </w:r>
      <w:r w:rsidR="005112C1">
        <w:rPr>
          <w:rFonts w:ascii="Arial" w:hAnsi="Arial" w:cs="Arial"/>
          <w:szCs w:val="20"/>
          <w:lang w:eastAsia="fr-FR"/>
        </w:rPr>
        <w:t xml:space="preserve">sur des </w:t>
      </w:r>
      <w:r w:rsidRPr="006B690B">
        <w:rPr>
          <w:rFonts w:ascii="Arial" w:hAnsi="Arial" w:cs="Arial"/>
          <w:szCs w:val="20"/>
          <w:lang w:eastAsia="fr-FR"/>
        </w:rPr>
        <w:t>installations</w:t>
      </w:r>
      <w:r w:rsidR="005112C1">
        <w:rPr>
          <w:rFonts w:ascii="Arial" w:hAnsi="Arial" w:cs="Arial"/>
          <w:szCs w:val="20"/>
          <w:lang w:eastAsia="fr-FR"/>
        </w:rPr>
        <w:t> : abris vélos, bornes électriques</w:t>
      </w:r>
    </w:p>
    <w:p w:rsidR="00B976EA" w:rsidRPr="005112C1" w:rsidRDefault="005112C1" w:rsidP="00E16AF0">
      <w:pPr>
        <w:pStyle w:val="Paragraphedeliste"/>
        <w:numPr>
          <w:ilvl w:val="0"/>
          <w:numId w:val="19"/>
        </w:numPr>
        <w:rPr>
          <w:rFonts w:ascii="Arial" w:hAnsi="Arial" w:cs="Arial"/>
          <w:szCs w:val="20"/>
        </w:rPr>
      </w:pPr>
      <w:r w:rsidRPr="005112C1">
        <w:rPr>
          <w:rFonts w:ascii="Arial" w:hAnsi="Arial" w:cs="Arial"/>
          <w:szCs w:val="20"/>
          <w:lang w:eastAsia="fr-FR"/>
        </w:rPr>
        <w:t>Financement de l’indemnité kilométrique vélo pour les employés</w:t>
      </w:r>
      <w:r w:rsidR="00B12682" w:rsidRPr="005112C1">
        <w:rPr>
          <w:rFonts w:ascii="Arial" w:hAnsi="Arial" w:cs="Arial"/>
          <w:szCs w:val="20"/>
          <w:lang w:eastAsia="fr-FR"/>
        </w:rPr>
        <w:t xml:space="preserve"> </w:t>
      </w:r>
    </w:p>
    <w:p w:rsidR="00F93F98" w:rsidRDefault="00B976EA" w:rsidP="005112C1">
      <w:pPr>
        <w:jc w:val="both"/>
        <w:rPr>
          <w:rFonts w:ascii="Arial" w:hAnsi="Arial" w:cs="Arial"/>
          <w:color w:val="000000"/>
          <w:sz w:val="20"/>
          <w:szCs w:val="20"/>
        </w:rPr>
      </w:pPr>
      <w:r>
        <w:rPr>
          <w:rFonts w:ascii="Arial" w:hAnsi="Arial" w:cs="Arial"/>
          <w:color w:val="000000"/>
          <w:sz w:val="20"/>
          <w:szCs w:val="20"/>
        </w:rPr>
        <w:t xml:space="preserve">Il conviendra à terme de pouvoir évaluer </w:t>
      </w:r>
      <w:r w:rsidR="005112C1">
        <w:rPr>
          <w:rFonts w:ascii="Arial" w:hAnsi="Arial" w:cs="Arial"/>
          <w:color w:val="000000"/>
          <w:sz w:val="20"/>
          <w:szCs w:val="20"/>
        </w:rPr>
        <w:t>d</w:t>
      </w:r>
      <w:r>
        <w:rPr>
          <w:rFonts w:ascii="Arial" w:hAnsi="Arial" w:cs="Arial"/>
          <w:color w:val="000000"/>
          <w:sz w:val="20"/>
          <w:szCs w:val="20"/>
        </w:rPr>
        <w:t xml:space="preserve">es quantités </w:t>
      </w:r>
      <w:r w:rsidR="005112C1">
        <w:rPr>
          <w:rFonts w:ascii="Arial" w:hAnsi="Arial" w:cs="Arial"/>
          <w:color w:val="000000"/>
          <w:sz w:val="20"/>
          <w:szCs w:val="20"/>
        </w:rPr>
        <w:t>de kilomètres polluants évités</w:t>
      </w:r>
      <w:r>
        <w:rPr>
          <w:rFonts w:ascii="Arial" w:hAnsi="Arial" w:cs="Arial"/>
          <w:color w:val="000000"/>
          <w:sz w:val="20"/>
          <w:szCs w:val="20"/>
        </w:rPr>
        <w:t xml:space="preserve"> et l’impact </w:t>
      </w:r>
      <w:r w:rsidR="00AD3B64">
        <w:rPr>
          <w:rFonts w:ascii="Arial" w:hAnsi="Arial" w:cs="Arial"/>
          <w:color w:val="000000"/>
          <w:sz w:val="20"/>
          <w:szCs w:val="20"/>
        </w:rPr>
        <w:t>obtenu</w:t>
      </w:r>
      <w:r>
        <w:rPr>
          <w:rFonts w:ascii="Arial" w:hAnsi="Arial" w:cs="Arial"/>
          <w:color w:val="000000"/>
          <w:sz w:val="20"/>
          <w:szCs w:val="20"/>
        </w:rPr>
        <w:t>.</w:t>
      </w:r>
    </w:p>
    <w:p w:rsidR="005C4A9E" w:rsidRDefault="00D84FD5" w:rsidP="005112C1">
      <w:pPr>
        <w:jc w:val="both"/>
        <w:rPr>
          <w:rFonts w:ascii="Arial" w:hAnsi="Arial" w:cs="Arial"/>
          <w:color w:val="000000"/>
          <w:sz w:val="20"/>
          <w:szCs w:val="20"/>
        </w:rPr>
      </w:pPr>
      <w:r>
        <w:rPr>
          <w:rFonts w:ascii="Arial" w:hAnsi="Arial" w:cs="Arial"/>
          <w:color w:val="000000"/>
          <w:sz w:val="20"/>
          <w:szCs w:val="20"/>
        </w:rPr>
        <w:t>La question posée est également celle de la massification de ces actions, au-delà de l’engagement de ces acteurs aujourd’hui actifs dans la COP21.</w:t>
      </w:r>
    </w:p>
    <w:p w:rsidR="005112C1" w:rsidRDefault="005112C1" w:rsidP="005112C1">
      <w:pPr>
        <w:jc w:val="both"/>
        <w:rPr>
          <w:rFonts w:ascii="Arial" w:hAnsi="Arial" w:cs="Arial"/>
          <w:color w:val="000000"/>
          <w:sz w:val="20"/>
          <w:szCs w:val="20"/>
        </w:rPr>
      </w:pPr>
    </w:p>
    <w:p w:rsidR="00D4117A" w:rsidRPr="005C4A9E" w:rsidRDefault="0020241B">
      <w:pPr>
        <w:rPr>
          <w:rFonts w:ascii="Arial" w:hAnsi="Arial" w:cs="Arial"/>
          <w:color w:val="000000"/>
          <w:sz w:val="20"/>
          <w:szCs w:val="20"/>
        </w:rPr>
      </w:pPr>
      <w:r>
        <w:rPr>
          <w:rFonts w:ascii="Arial" w:hAnsi="Arial" w:cs="Arial"/>
          <w:b/>
          <w:sz w:val="24"/>
          <w:szCs w:val="20"/>
        </w:rPr>
        <w:t>3/ Freins</w:t>
      </w:r>
    </w:p>
    <w:p w:rsidR="00F93F98" w:rsidRDefault="00F93F98">
      <w:pPr>
        <w:rPr>
          <w:rFonts w:ascii="Arial" w:hAnsi="Arial" w:cs="Arial"/>
          <w:sz w:val="20"/>
          <w:szCs w:val="20"/>
        </w:rPr>
      </w:pPr>
      <w:r w:rsidRPr="005B2903">
        <w:rPr>
          <w:rFonts w:ascii="Arial" w:hAnsi="Arial" w:cs="Arial"/>
          <w:sz w:val="20"/>
          <w:szCs w:val="20"/>
        </w:rPr>
        <w:t>A ce stade, les freins identifiés à la massification des actions sont les suivants :</w:t>
      </w:r>
    </w:p>
    <w:p w:rsidR="00D84FD5" w:rsidRPr="00D84FD5" w:rsidRDefault="005112C1" w:rsidP="00D84FD5">
      <w:pPr>
        <w:pStyle w:val="Paragraphedeliste"/>
        <w:numPr>
          <w:ilvl w:val="0"/>
          <w:numId w:val="14"/>
        </w:numPr>
        <w:rPr>
          <w:rFonts w:ascii="Arial" w:hAnsi="Arial" w:cs="Arial"/>
          <w:b/>
          <w:szCs w:val="20"/>
        </w:rPr>
      </w:pPr>
      <w:r>
        <w:rPr>
          <w:rFonts w:ascii="Arial" w:hAnsi="Arial" w:cs="Arial"/>
          <w:b/>
          <w:szCs w:val="20"/>
        </w:rPr>
        <w:t>Mettre en place un PDE ou au PDA</w:t>
      </w:r>
    </w:p>
    <w:p w:rsidR="005112C1" w:rsidRDefault="005112C1" w:rsidP="0020241B">
      <w:pPr>
        <w:pStyle w:val="Paragraphedeliste"/>
        <w:numPr>
          <w:ilvl w:val="0"/>
          <w:numId w:val="10"/>
        </w:numPr>
        <w:spacing w:after="0"/>
        <w:rPr>
          <w:rFonts w:ascii="Arial" w:eastAsia="Times New Roman" w:hAnsi="Arial" w:cs="Arial"/>
          <w:color w:val="auto"/>
          <w:szCs w:val="20"/>
          <w:lang w:eastAsia="fr-FR"/>
        </w:rPr>
      </w:pPr>
      <w:r w:rsidRPr="005112C1">
        <w:rPr>
          <w:rFonts w:ascii="Arial" w:eastAsia="Times New Roman" w:hAnsi="Arial" w:cs="Arial"/>
          <w:color w:val="auto"/>
          <w:szCs w:val="20"/>
          <w:lang w:eastAsia="fr-FR"/>
        </w:rPr>
        <w:t>PDE peut apparaître comme une action non prioritaire pour un employeur</w:t>
      </w:r>
      <w:r w:rsidRPr="0020241B">
        <w:rPr>
          <w:rFonts w:ascii="Arial" w:eastAsia="Times New Roman" w:hAnsi="Arial" w:cs="Arial"/>
          <w:color w:val="auto"/>
          <w:szCs w:val="20"/>
          <w:lang w:eastAsia="fr-FR"/>
        </w:rPr>
        <w:t xml:space="preserve"> </w:t>
      </w:r>
    </w:p>
    <w:p w:rsidR="005112C1" w:rsidRDefault="005112C1" w:rsidP="005112C1">
      <w:pPr>
        <w:pStyle w:val="Paragraphedeliste"/>
        <w:numPr>
          <w:ilvl w:val="0"/>
          <w:numId w:val="10"/>
        </w:numPr>
        <w:spacing w:after="0"/>
        <w:rPr>
          <w:rFonts w:ascii="Arial" w:eastAsia="Times New Roman" w:hAnsi="Arial" w:cs="Arial"/>
          <w:color w:val="auto"/>
          <w:szCs w:val="20"/>
          <w:lang w:eastAsia="fr-FR"/>
        </w:rPr>
      </w:pPr>
      <w:r w:rsidRPr="005112C1">
        <w:rPr>
          <w:rFonts w:ascii="Arial" w:eastAsia="Times New Roman" w:hAnsi="Arial" w:cs="Arial"/>
          <w:color w:val="auto"/>
          <w:szCs w:val="20"/>
          <w:lang w:eastAsia="fr-FR"/>
        </w:rPr>
        <w:t xml:space="preserve">Certaines </w:t>
      </w:r>
      <w:r w:rsidR="000E6764">
        <w:rPr>
          <w:rFonts w:ascii="Arial" w:eastAsia="Times New Roman" w:hAnsi="Arial" w:cs="Arial"/>
          <w:color w:val="auto"/>
          <w:szCs w:val="20"/>
          <w:lang w:eastAsia="fr-FR"/>
        </w:rPr>
        <w:t>actions d'un PDE peuvent entraî</w:t>
      </w:r>
      <w:r w:rsidRPr="005112C1">
        <w:rPr>
          <w:rFonts w:ascii="Arial" w:eastAsia="Times New Roman" w:hAnsi="Arial" w:cs="Arial"/>
          <w:color w:val="auto"/>
          <w:szCs w:val="20"/>
          <w:lang w:eastAsia="fr-FR"/>
        </w:rPr>
        <w:t>ner une contestation des salariés (diminution du stationnement)</w:t>
      </w:r>
    </w:p>
    <w:p w:rsidR="000E6764" w:rsidRDefault="000E6764" w:rsidP="000E6764">
      <w:pPr>
        <w:pStyle w:val="Paragraphedeliste"/>
        <w:spacing w:after="0"/>
        <w:rPr>
          <w:rFonts w:ascii="Arial" w:eastAsia="Times New Roman" w:hAnsi="Arial" w:cs="Arial"/>
          <w:color w:val="auto"/>
          <w:szCs w:val="20"/>
          <w:lang w:eastAsia="fr-FR"/>
        </w:rPr>
      </w:pPr>
    </w:p>
    <w:p w:rsidR="000E6764" w:rsidRPr="000E6764" w:rsidRDefault="000E6764" w:rsidP="000E6764">
      <w:pPr>
        <w:pStyle w:val="Paragraphedeliste"/>
        <w:numPr>
          <w:ilvl w:val="0"/>
          <w:numId w:val="14"/>
        </w:numPr>
        <w:rPr>
          <w:rFonts w:ascii="Arial" w:hAnsi="Arial" w:cs="Arial"/>
          <w:b/>
          <w:szCs w:val="20"/>
        </w:rPr>
      </w:pPr>
      <w:r w:rsidRPr="000E6764">
        <w:rPr>
          <w:rFonts w:ascii="Arial" w:hAnsi="Arial" w:cs="Arial"/>
          <w:b/>
          <w:szCs w:val="20"/>
        </w:rPr>
        <w:t>Changer de mode</w:t>
      </w:r>
    </w:p>
    <w:p w:rsidR="000E6764" w:rsidRPr="003863DA" w:rsidRDefault="000E6764" w:rsidP="000E6764">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 xml:space="preserve">Topographie de Rouen et/ou densité des zones d’habitat </w:t>
      </w:r>
      <w:r w:rsidR="003863DA" w:rsidRPr="003863DA">
        <w:rPr>
          <w:rFonts w:ascii="Arial" w:eastAsia="Times New Roman" w:hAnsi="Arial" w:cs="Arial"/>
          <w:color w:val="auto"/>
          <w:szCs w:val="20"/>
          <w:lang w:eastAsia="fr-FR"/>
        </w:rPr>
        <w:t xml:space="preserve">et/ou densité </w:t>
      </w:r>
      <w:proofErr w:type="gramStart"/>
      <w:r w:rsidR="003863DA" w:rsidRPr="003863DA">
        <w:rPr>
          <w:rFonts w:ascii="Arial" w:eastAsia="Times New Roman" w:hAnsi="Arial" w:cs="Arial"/>
          <w:color w:val="auto"/>
          <w:szCs w:val="20"/>
          <w:lang w:eastAsia="fr-FR"/>
        </w:rPr>
        <w:t xml:space="preserve">du trafic </w:t>
      </w:r>
      <w:r w:rsidRPr="003863DA">
        <w:rPr>
          <w:rFonts w:ascii="Arial" w:eastAsia="Times New Roman" w:hAnsi="Arial" w:cs="Arial"/>
          <w:color w:val="auto"/>
          <w:szCs w:val="20"/>
          <w:lang w:eastAsia="fr-FR"/>
        </w:rPr>
        <w:t>inadaptées</w:t>
      </w:r>
      <w:proofErr w:type="gramEnd"/>
      <w:r w:rsidRPr="003863DA">
        <w:rPr>
          <w:rFonts w:ascii="Arial" w:eastAsia="Times New Roman" w:hAnsi="Arial" w:cs="Arial"/>
          <w:color w:val="auto"/>
          <w:szCs w:val="20"/>
          <w:lang w:eastAsia="fr-FR"/>
        </w:rPr>
        <w:t xml:space="preserve"> pour la pratique des mobilités actives </w:t>
      </w:r>
      <w:r w:rsidR="003859EF" w:rsidRPr="003863DA">
        <w:rPr>
          <w:rFonts w:ascii="Arial" w:eastAsia="Times New Roman" w:hAnsi="Arial" w:cs="Arial"/>
          <w:color w:val="auto"/>
          <w:szCs w:val="20"/>
          <w:lang w:eastAsia="fr-FR"/>
        </w:rPr>
        <w:t>et transport en commun</w:t>
      </w:r>
    </w:p>
    <w:p w:rsidR="00E16AF0" w:rsidRPr="003863DA" w:rsidRDefault="00E16AF0" w:rsidP="000E6764">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Facilités de stationnement</w:t>
      </w:r>
    </w:p>
    <w:p w:rsidR="000E6764" w:rsidRDefault="000E6764" w:rsidP="000E6764">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w:t>
      </w:r>
      <w:r w:rsidRPr="000E6764">
        <w:rPr>
          <w:rFonts w:ascii="Arial" w:eastAsia="Times New Roman" w:hAnsi="Arial" w:cs="Arial"/>
          <w:color w:val="auto"/>
          <w:szCs w:val="20"/>
          <w:lang w:eastAsia="fr-FR"/>
        </w:rPr>
        <w:t xml:space="preserve">éconnaissance générale des </w:t>
      </w:r>
      <w:proofErr w:type="spellStart"/>
      <w:r w:rsidRPr="000E6764">
        <w:rPr>
          <w:rFonts w:ascii="Arial" w:eastAsia="Times New Roman" w:hAnsi="Arial" w:cs="Arial"/>
          <w:color w:val="auto"/>
          <w:szCs w:val="20"/>
          <w:lang w:eastAsia="fr-FR"/>
        </w:rPr>
        <w:t>co</w:t>
      </w:r>
      <w:proofErr w:type="spellEnd"/>
      <w:r>
        <w:rPr>
          <w:rFonts w:ascii="Arial" w:eastAsia="Times New Roman" w:hAnsi="Arial" w:cs="Arial"/>
          <w:color w:val="auto"/>
          <w:szCs w:val="20"/>
          <w:lang w:eastAsia="fr-FR"/>
        </w:rPr>
        <w:t>-</w:t>
      </w:r>
      <w:r w:rsidRPr="000E6764">
        <w:rPr>
          <w:rFonts w:ascii="Arial" w:eastAsia="Times New Roman" w:hAnsi="Arial" w:cs="Arial"/>
          <w:color w:val="auto"/>
          <w:szCs w:val="20"/>
          <w:lang w:eastAsia="fr-FR"/>
        </w:rPr>
        <w:t>bénéfices des modes acti</w:t>
      </w:r>
      <w:r>
        <w:rPr>
          <w:rFonts w:ascii="Arial" w:eastAsia="Times New Roman" w:hAnsi="Arial" w:cs="Arial"/>
          <w:color w:val="auto"/>
          <w:szCs w:val="20"/>
          <w:lang w:eastAsia="fr-FR"/>
        </w:rPr>
        <w:t xml:space="preserve">fs (santé, temps libre, accès </w:t>
      </w:r>
      <w:r w:rsidRPr="000E6764">
        <w:rPr>
          <w:rFonts w:ascii="Arial" w:eastAsia="Times New Roman" w:hAnsi="Arial" w:cs="Arial"/>
          <w:color w:val="auto"/>
          <w:szCs w:val="20"/>
          <w:lang w:eastAsia="fr-FR"/>
        </w:rPr>
        <w:t xml:space="preserve">aisé au centre urbain...) </w:t>
      </w:r>
    </w:p>
    <w:p w:rsidR="003859EF" w:rsidRDefault="003859EF" w:rsidP="000E6764">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Méconnaissance du réseau de transport en commun</w:t>
      </w:r>
    </w:p>
    <w:p w:rsidR="00040E2C" w:rsidRPr="003863DA" w:rsidRDefault="000E6764" w:rsidP="002443DE">
      <w:pPr>
        <w:pStyle w:val="Paragraphedeliste"/>
        <w:numPr>
          <w:ilvl w:val="0"/>
          <w:numId w:val="10"/>
        </w:numPr>
        <w:spacing w:after="0"/>
        <w:rPr>
          <w:rFonts w:ascii="Arial" w:eastAsia="Times New Roman" w:hAnsi="Arial" w:cs="Arial"/>
          <w:color w:val="auto"/>
          <w:szCs w:val="20"/>
          <w:lang w:eastAsia="fr-FR"/>
        </w:rPr>
      </w:pPr>
      <w:r w:rsidRPr="000E6764">
        <w:rPr>
          <w:rFonts w:ascii="Arial" w:eastAsia="Times New Roman" w:hAnsi="Arial" w:cs="Arial"/>
          <w:color w:val="auto"/>
          <w:szCs w:val="20"/>
          <w:lang w:eastAsia="fr-FR"/>
        </w:rPr>
        <w:t>Compétences des agents pour pratiquer tel ou tel mode</w:t>
      </w:r>
    </w:p>
    <w:p w:rsidR="0020241B" w:rsidRPr="002443DE" w:rsidRDefault="0020241B" w:rsidP="002443DE">
      <w:pPr>
        <w:rPr>
          <w:rFonts w:ascii="Arial" w:hAnsi="Arial" w:cs="Arial"/>
          <w:b/>
          <w:sz w:val="24"/>
          <w:szCs w:val="20"/>
        </w:rPr>
      </w:pPr>
      <w:r w:rsidRPr="002443DE">
        <w:rPr>
          <w:rFonts w:ascii="Arial" w:hAnsi="Arial" w:cs="Arial"/>
          <w:b/>
          <w:sz w:val="24"/>
          <w:szCs w:val="20"/>
        </w:rPr>
        <w:lastRenderedPageBreak/>
        <w:t>4/ Quels leviers et quels acteurs mobiliser ?</w:t>
      </w:r>
    </w:p>
    <w:p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Lors de la réunion du 2</w:t>
      </w:r>
      <w:r w:rsidR="00040E2C">
        <w:rPr>
          <w:rFonts w:ascii="Arial" w:hAnsi="Arial" w:cs="Arial"/>
          <w:sz w:val="20"/>
          <w:szCs w:val="20"/>
          <w:lang w:eastAsia="fr-FR"/>
        </w:rPr>
        <w:t>5</w:t>
      </w:r>
      <w:r w:rsidRPr="002443DE">
        <w:rPr>
          <w:rFonts w:ascii="Arial" w:hAnsi="Arial" w:cs="Arial"/>
          <w:sz w:val="20"/>
          <w:szCs w:val="20"/>
          <w:lang w:eastAsia="fr-FR"/>
        </w:rPr>
        <w:t>/09/2018, nous vous proposerons de compléter la liste des freins et de travailler sur les leviers et acte</w:t>
      </w:r>
      <w:r w:rsidR="00040E2C">
        <w:rPr>
          <w:rFonts w:ascii="Arial" w:hAnsi="Arial" w:cs="Arial"/>
          <w:sz w:val="20"/>
          <w:szCs w:val="20"/>
          <w:lang w:eastAsia="fr-FR"/>
        </w:rPr>
        <w:t>urs à mobiliser. Un thème fera</w:t>
      </w:r>
      <w:r w:rsidRPr="002443DE">
        <w:rPr>
          <w:rFonts w:ascii="Arial" w:hAnsi="Arial" w:cs="Arial"/>
          <w:sz w:val="20"/>
          <w:szCs w:val="20"/>
          <w:lang w:eastAsia="fr-FR"/>
        </w:rPr>
        <w:t xml:space="preserve"> l’objet d’un approfondissement spécifique : </w:t>
      </w:r>
      <w:r w:rsidR="00040E2C">
        <w:rPr>
          <w:rFonts w:ascii="Arial" w:hAnsi="Arial" w:cs="Arial"/>
          <w:sz w:val="20"/>
          <w:szCs w:val="20"/>
          <w:lang w:eastAsia="fr-FR"/>
        </w:rPr>
        <w:t>comment favoriser le passage à l’acte des citoyens vers une mobilité plus durable ?</w:t>
      </w:r>
    </w:p>
    <w:p w:rsidR="00040E2C" w:rsidRDefault="00040E2C" w:rsidP="002443DE">
      <w:pPr>
        <w:spacing w:after="60"/>
        <w:jc w:val="both"/>
        <w:rPr>
          <w:rFonts w:ascii="Arial" w:hAnsi="Arial" w:cs="Arial"/>
          <w:sz w:val="20"/>
          <w:szCs w:val="20"/>
          <w:lang w:eastAsia="fr-FR"/>
        </w:rPr>
      </w:pPr>
    </w:p>
    <w:p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Premières pistes de leviers et acteurs :</w:t>
      </w:r>
    </w:p>
    <w:p w:rsidR="002443DE" w:rsidRPr="003863DA" w:rsidRDefault="00040E2C" w:rsidP="00D84FD5">
      <w:pPr>
        <w:pStyle w:val="Paragraphedeliste"/>
        <w:numPr>
          <w:ilvl w:val="0"/>
          <w:numId w:val="14"/>
        </w:numPr>
        <w:rPr>
          <w:rFonts w:ascii="Arial" w:hAnsi="Arial" w:cs="Arial"/>
          <w:b/>
          <w:strike/>
          <w:color w:val="auto"/>
          <w:szCs w:val="20"/>
        </w:rPr>
      </w:pPr>
      <w:r w:rsidRPr="003863DA">
        <w:rPr>
          <w:rFonts w:ascii="Arial" w:hAnsi="Arial" w:cs="Arial"/>
          <w:b/>
          <w:color w:val="auto"/>
          <w:szCs w:val="20"/>
        </w:rPr>
        <w:t xml:space="preserve">Sensibiliser, </w:t>
      </w:r>
      <w:r w:rsidR="00E16AF0" w:rsidRPr="003863DA">
        <w:rPr>
          <w:rFonts w:ascii="Arial" w:hAnsi="Arial" w:cs="Arial"/>
          <w:b/>
          <w:color w:val="auto"/>
          <w:szCs w:val="20"/>
        </w:rPr>
        <w:t xml:space="preserve">accompagner </w:t>
      </w:r>
    </w:p>
    <w:p w:rsidR="00040E2C" w:rsidRDefault="00040E2C" w:rsidP="00E16AF0">
      <w:pPr>
        <w:pStyle w:val="Paragraphedeliste"/>
        <w:numPr>
          <w:ilvl w:val="0"/>
          <w:numId w:val="10"/>
        </w:numPr>
        <w:spacing w:after="0"/>
        <w:rPr>
          <w:rFonts w:ascii="Arial" w:eastAsia="Times New Roman" w:hAnsi="Arial" w:cs="Arial"/>
          <w:color w:val="auto"/>
          <w:szCs w:val="20"/>
          <w:lang w:eastAsia="fr-FR"/>
        </w:rPr>
      </w:pPr>
      <w:r w:rsidRPr="00040E2C">
        <w:rPr>
          <w:rFonts w:ascii="Arial" w:eastAsia="Times New Roman" w:hAnsi="Arial" w:cs="Arial"/>
          <w:color w:val="auto"/>
          <w:szCs w:val="20"/>
          <w:lang w:eastAsia="fr-FR"/>
        </w:rPr>
        <w:t xml:space="preserve">Education à la mobilité durable des plus jeunes </w:t>
      </w:r>
    </w:p>
    <w:p w:rsidR="005C4A9E" w:rsidRDefault="005C4A9E" w:rsidP="00E16AF0">
      <w:pPr>
        <w:pStyle w:val="Paragraphedeliste"/>
        <w:numPr>
          <w:ilvl w:val="0"/>
          <w:numId w:val="10"/>
        </w:numPr>
        <w:spacing w:after="0"/>
        <w:rPr>
          <w:rFonts w:ascii="Arial" w:eastAsia="Times New Roman" w:hAnsi="Arial" w:cs="Arial"/>
          <w:color w:val="auto"/>
          <w:szCs w:val="20"/>
          <w:lang w:eastAsia="fr-FR"/>
        </w:rPr>
      </w:pPr>
      <w:r w:rsidRPr="00040E2C">
        <w:rPr>
          <w:rFonts w:ascii="Arial" w:eastAsia="Times New Roman" w:hAnsi="Arial" w:cs="Arial"/>
          <w:color w:val="auto"/>
          <w:szCs w:val="20"/>
          <w:lang w:eastAsia="fr-FR"/>
        </w:rPr>
        <w:t>Etat : Aide ADEME des commerçants/artisans à pérenniser</w:t>
      </w:r>
    </w:p>
    <w:p w:rsidR="006E745F"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sidRPr="006E745F">
        <w:rPr>
          <w:rFonts w:ascii="Arial" w:eastAsia="Times New Roman" w:hAnsi="Arial" w:cs="Arial"/>
          <w:color w:val="auto"/>
          <w:szCs w:val="20"/>
          <w:lang w:eastAsia="fr-FR"/>
        </w:rPr>
        <w:t>Ambassadeurs de mobilité au sein des entreprises et des écoles</w:t>
      </w:r>
    </w:p>
    <w:p w:rsidR="00040E2C" w:rsidRDefault="00040E2C" w:rsidP="00E16AF0">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rsidR="00040E2C" w:rsidRDefault="00040E2C" w:rsidP="00040E2C">
      <w:pPr>
        <w:pStyle w:val="Paragraphedeliste"/>
        <w:spacing w:after="0"/>
        <w:rPr>
          <w:rFonts w:ascii="Arial" w:eastAsia="Times New Roman" w:hAnsi="Arial" w:cs="Arial"/>
          <w:color w:val="auto"/>
          <w:szCs w:val="20"/>
          <w:lang w:eastAsia="fr-FR"/>
        </w:rPr>
      </w:pPr>
    </w:p>
    <w:p w:rsidR="00040E2C" w:rsidRPr="00040E2C" w:rsidRDefault="00040E2C" w:rsidP="00040E2C">
      <w:pPr>
        <w:pStyle w:val="Paragraphedeliste"/>
        <w:numPr>
          <w:ilvl w:val="0"/>
          <w:numId w:val="14"/>
        </w:numPr>
        <w:rPr>
          <w:rFonts w:ascii="Arial" w:hAnsi="Arial" w:cs="Arial"/>
          <w:b/>
          <w:szCs w:val="20"/>
        </w:rPr>
      </w:pPr>
      <w:r w:rsidRPr="00040E2C">
        <w:rPr>
          <w:rFonts w:ascii="Arial" w:hAnsi="Arial" w:cs="Arial"/>
          <w:b/>
          <w:szCs w:val="20"/>
        </w:rPr>
        <w:t>Faciliter</w:t>
      </w:r>
    </w:p>
    <w:p w:rsidR="00040E2C" w:rsidRPr="00040E2C" w:rsidRDefault="00040E2C" w:rsidP="005C4A9E">
      <w:pPr>
        <w:pStyle w:val="Paragraphedeliste"/>
        <w:numPr>
          <w:ilvl w:val="0"/>
          <w:numId w:val="10"/>
        </w:numPr>
        <w:spacing w:after="0"/>
        <w:rPr>
          <w:rFonts w:ascii="Arial" w:eastAsia="Times New Roman" w:hAnsi="Arial" w:cs="Arial"/>
          <w:color w:val="auto"/>
          <w:szCs w:val="20"/>
          <w:lang w:eastAsia="fr-FR"/>
        </w:rPr>
      </w:pPr>
      <w:r w:rsidRPr="00040E2C">
        <w:rPr>
          <w:rFonts w:ascii="Arial" w:eastAsia="Times New Roman" w:hAnsi="Arial" w:cs="Arial"/>
          <w:color w:val="auto"/>
          <w:szCs w:val="20"/>
          <w:lang w:eastAsia="fr-FR"/>
        </w:rPr>
        <w:t>Intermodalité des titres de transport (train, TC, Vélo...)</w:t>
      </w:r>
    </w:p>
    <w:p w:rsidR="003B04A1" w:rsidRPr="005C4A9E" w:rsidRDefault="00040E2C" w:rsidP="005C4A9E">
      <w:pPr>
        <w:pStyle w:val="Paragraphedeliste"/>
        <w:numPr>
          <w:ilvl w:val="0"/>
          <w:numId w:val="10"/>
        </w:numPr>
        <w:spacing w:after="0"/>
        <w:rPr>
          <w:rFonts w:ascii="Arial" w:eastAsia="Times New Roman" w:hAnsi="Arial" w:cs="Arial"/>
          <w:color w:val="auto"/>
          <w:szCs w:val="20"/>
          <w:lang w:eastAsia="fr-FR"/>
        </w:rPr>
      </w:pPr>
      <w:r w:rsidRPr="00040E2C">
        <w:rPr>
          <w:rFonts w:ascii="Arial" w:eastAsia="Times New Roman" w:hAnsi="Arial" w:cs="Arial"/>
          <w:color w:val="auto"/>
          <w:szCs w:val="20"/>
          <w:lang w:eastAsia="fr-FR"/>
        </w:rPr>
        <w:t>Intermodalité des outils de simulation de trajets (VP, TC, Vélo, Marche, Train, Taxi partagé...) avec indication coût, temps, ...</w:t>
      </w:r>
      <w:r w:rsidR="003B04A1">
        <w:rPr>
          <w:rFonts w:ascii="Arial" w:eastAsia="Times New Roman" w:hAnsi="Arial" w:cs="Arial"/>
          <w:color w:val="auto"/>
          <w:szCs w:val="20"/>
          <w:lang w:eastAsia="fr-FR"/>
        </w:rPr>
        <w:t>…</w:t>
      </w:r>
    </w:p>
    <w:p w:rsidR="00040E2C" w:rsidRDefault="00040E2C" w:rsidP="00040E2C">
      <w:pPr>
        <w:pStyle w:val="Paragraphedeliste"/>
        <w:numPr>
          <w:ilvl w:val="0"/>
          <w:numId w:val="10"/>
        </w:numPr>
        <w:spacing w:after="0"/>
        <w:rPr>
          <w:rFonts w:ascii="Arial" w:eastAsia="Times New Roman" w:hAnsi="Arial" w:cs="Arial"/>
          <w:color w:val="auto"/>
          <w:szCs w:val="20"/>
          <w:lang w:eastAsia="fr-FR"/>
        </w:rPr>
      </w:pPr>
      <w:r w:rsidRPr="00040E2C">
        <w:rPr>
          <w:rFonts w:ascii="Arial" w:eastAsia="Times New Roman" w:hAnsi="Arial" w:cs="Arial"/>
          <w:color w:val="auto"/>
          <w:szCs w:val="20"/>
          <w:lang w:eastAsia="fr-FR"/>
        </w:rPr>
        <w:t>Communiquer sur les dispositifs d'aides</w:t>
      </w:r>
    </w:p>
    <w:p w:rsidR="006E745F" w:rsidRPr="00040E2C" w:rsidRDefault="006E745F" w:rsidP="006E745F">
      <w:pPr>
        <w:pStyle w:val="Paragraphedeliste"/>
        <w:numPr>
          <w:ilvl w:val="0"/>
          <w:numId w:val="10"/>
        </w:numPr>
        <w:spacing w:after="0"/>
        <w:rPr>
          <w:rFonts w:ascii="Arial" w:eastAsia="Times New Roman" w:hAnsi="Arial" w:cs="Arial"/>
          <w:color w:val="auto"/>
          <w:szCs w:val="20"/>
          <w:lang w:eastAsia="fr-FR"/>
        </w:rPr>
      </w:pPr>
      <w:r w:rsidRPr="006E745F">
        <w:rPr>
          <w:rFonts w:ascii="Arial" w:eastAsia="Times New Roman" w:hAnsi="Arial" w:cs="Arial"/>
          <w:color w:val="auto"/>
          <w:szCs w:val="20"/>
          <w:lang w:eastAsia="fr-FR"/>
        </w:rPr>
        <w:t>Tendre vers la ville 30</w:t>
      </w:r>
    </w:p>
    <w:p w:rsidR="006E745F" w:rsidRDefault="00040E2C"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rsidR="00040E2C" w:rsidRPr="003863DA" w:rsidRDefault="00040E2C" w:rsidP="00040E2C">
      <w:pPr>
        <w:pStyle w:val="Paragraphedeliste"/>
        <w:spacing w:after="0"/>
        <w:rPr>
          <w:rFonts w:ascii="Arial" w:eastAsia="Times New Roman" w:hAnsi="Arial" w:cs="Arial"/>
          <w:color w:val="auto"/>
          <w:szCs w:val="20"/>
          <w:lang w:eastAsia="fr-FR"/>
        </w:rPr>
      </w:pPr>
    </w:p>
    <w:p w:rsidR="00040E2C" w:rsidRPr="003863DA" w:rsidRDefault="00E16AF0" w:rsidP="006E745F">
      <w:pPr>
        <w:pStyle w:val="Paragraphedeliste"/>
        <w:numPr>
          <w:ilvl w:val="0"/>
          <w:numId w:val="14"/>
        </w:numPr>
        <w:rPr>
          <w:rFonts w:ascii="Arial" w:hAnsi="Arial" w:cs="Arial"/>
          <w:b/>
          <w:color w:val="auto"/>
          <w:szCs w:val="20"/>
        </w:rPr>
      </w:pPr>
      <w:r w:rsidRPr="003863DA">
        <w:rPr>
          <w:rFonts w:ascii="Arial" w:hAnsi="Arial" w:cs="Arial"/>
          <w:b/>
          <w:color w:val="auto"/>
          <w:szCs w:val="20"/>
        </w:rPr>
        <w:t>Réduire la place de la voiture et son utilisation pour les déplacements courts</w:t>
      </w:r>
    </w:p>
    <w:p w:rsidR="00040E2C" w:rsidRPr="003863DA" w:rsidRDefault="003863DA" w:rsidP="00040E2C">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A</w:t>
      </w:r>
      <w:r w:rsidR="00E16AF0" w:rsidRPr="003863DA">
        <w:rPr>
          <w:rFonts w:ascii="Arial" w:eastAsia="Times New Roman" w:hAnsi="Arial" w:cs="Arial"/>
          <w:color w:val="auto"/>
          <w:szCs w:val="20"/>
          <w:lang w:eastAsia="fr-FR"/>
        </w:rPr>
        <w:t>dopter des politiques de stationnement</w:t>
      </w:r>
      <w:r w:rsidR="000B6B71" w:rsidRPr="003863DA">
        <w:rPr>
          <w:rFonts w:ascii="Arial" w:eastAsia="Times New Roman" w:hAnsi="Arial" w:cs="Arial"/>
          <w:color w:val="auto"/>
          <w:szCs w:val="20"/>
          <w:lang w:eastAsia="fr-FR"/>
        </w:rPr>
        <w:t xml:space="preserve"> cohérentes</w:t>
      </w:r>
      <w:r w:rsidR="00E16AF0" w:rsidRPr="003863DA">
        <w:rPr>
          <w:rFonts w:ascii="Arial" w:eastAsia="Times New Roman" w:hAnsi="Arial" w:cs="Arial"/>
          <w:color w:val="auto"/>
          <w:szCs w:val="20"/>
          <w:lang w:eastAsia="fr-FR"/>
        </w:rPr>
        <w:t xml:space="preserve"> </w:t>
      </w:r>
    </w:p>
    <w:p w:rsidR="003859EF" w:rsidRPr="003863DA" w:rsidRDefault="003863DA" w:rsidP="00040E2C">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R</w:t>
      </w:r>
      <w:r w:rsidR="000B6B71" w:rsidRPr="003863DA">
        <w:rPr>
          <w:rFonts w:ascii="Arial" w:eastAsia="Times New Roman" w:hAnsi="Arial" w:cs="Arial"/>
          <w:color w:val="auto"/>
          <w:szCs w:val="20"/>
          <w:lang w:eastAsia="fr-FR"/>
        </w:rPr>
        <w:t>églementer les accès à la voiture dans les centralités denses</w:t>
      </w:r>
    </w:p>
    <w:p w:rsidR="006E745F" w:rsidRPr="003863DA" w:rsidRDefault="006E745F" w:rsidP="00040E2C">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w:t>
      </w:r>
    </w:p>
    <w:p w:rsidR="006E745F" w:rsidRPr="000B6B71" w:rsidRDefault="006E745F" w:rsidP="006E745F">
      <w:pPr>
        <w:spacing w:after="0"/>
        <w:rPr>
          <w:rFonts w:ascii="Arial" w:eastAsia="Times New Roman" w:hAnsi="Arial" w:cs="Arial"/>
          <w:color w:val="FF0000"/>
          <w:szCs w:val="20"/>
          <w:lang w:eastAsia="fr-FR"/>
        </w:rPr>
      </w:pPr>
    </w:p>
    <w:p w:rsidR="006E745F" w:rsidRPr="006E745F" w:rsidRDefault="006E745F" w:rsidP="006E745F">
      <w:pPr>
        <w:pStyle w:val="Paragraphedeliste"/>
        <w:numPr>
          <w:ilvl w:val="0"/>
          <w:numId w:val="14"/>
        </w:numPr>
        <w:rPr>
          <w:rFonts w:ascii="Arial" w:hAnsi="Arial" w:cs="Arial"/>
          <w:b/>
          <w:szCs w:val="20"/>
        </w:rPr>
      </w:pPr>
      <w:r w:rsidRPr="006E745F">
        <w:rPr>
          <w:rFonts w:ascii="Arial" w:hAnsi="Arial" w:cs="Arial"/>
          <w:b/>
          <w:szCs w:val="20"/>
        </w:rPr>
        <w:t>Innover</w:t>
      </w:r>
    </w:p>
    <w:p w:rsidR="006E745F"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sidRPr="006E745F">
        <w:rPr>
          <w:rFonts w:ascii="Arial" w:eastAsia="Times New Roman" w:hAnsi="Arial" w:cs="Arial"/>
          <w:color w:val="auto"/>
          <w:szCs w:val="20"/>
          <w:lang w:eastAsia="fr-FR"/>
        </w:rPr>
        <w:t>Verdir les flotte</w:t>
      </w:r>
      <w:r w:rsidR="003859EF">
        <w:rPr>
          <w:rFonts w:ascii="Arial" w:eastAsia="Times New Roman" w:hAnsi="Arial" w:cs="Arial"/>
          <w:color w:val="auto"/>
          <w:szCs w:val="20"/>
          <w:lang w:eastAsia="fr-FR"/>
        </w:rPr>
        <w:t>s captives (dont taxis</w:t>
      </w:r>
      <w:r w:rsidRPr="006E745F">
        <w:rPr>
          <w:rFonts w:ascii="Arial" w:eastAsia="Times New Roman" w:hAnsi="Arial" w:cs="Arial"/>
          <w:color w:val="auto"/>
          <w:szCs w:val="20"/>
          <w:lang w:eastAsia="fr-FR"/>
        </w:rPr>
        <w:t>)</w:t>
      </w:r>
    </w:p>
    <w:p w:rsidR="00040E2C"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w:t>
      </w:r>
      <w:r w:rsidRPr="006E745F">
        <w:rPr>
          <w:rFonts w:ascii="Arial" w:eastAsia="Times New Roman" w:hAnsi="Arial" w:cs="Arial"/>
          <w:color w:val="auto"/>
          <w:szCs w:val="20"/>
          <w:lang w:eastAsia="fr-FR"/>
        </w:rPr>
        <w:t>utualis</w:t>
      </w:r>
      <w:r>
        <w:rPr>
          <w:rFonts w:ascii="Arial" w:eastAsia="Times New Roman" w:hAnsi="Arial" w:cs="Arial"/>
          <w:color w:val="auto"/>
          <w:szCs w:val="20"/>
          <w:lang w:eastAsia="fr-FR"/>
        </w:rPr>
        <w:t>er</w:t>
      </w:r>
      <w:r w:rsidRPr="006E745F">
        <w:rPr>
          <w:rFonts w:ascii="Arial" w:eastAsia="Times New Roman" w:hAnsi="Arial" w:cs="Arial"/>
          <w:color w:val="auto"/>
          <w:szCs w:val="20"/>
          <w:lang w:eastAsia="fr-FR"/>
        </w:rPr>
        <w:t xml:space="preserve"> des parkings de zones d'activité</w:t>
      </w:r>
    </w:p>
    <w:p w:rsidR="00040E2C" w:rsidRPr="003863DA" w:rsidRDefault="006E745F"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Développer un</w:t>
      </w:r>
      <w:r w:rsidRPr="00040E2C">
        <w:rPr>
          <w:rFonts w:ascii="Arial" w:eastAsia="Times New Roman" w:hAnsi="Arial" w:cs="Arial"/>
          <w:color w:val="auto"/>
          <w:szCs w:val="20"/>
          <w:lang w:eastAsia="fr-FR"/>
        </w:rPr>
        <w:t xml:space="preserve"> service de vente/achat de véhicules d'occasion facilitant l'acquis</w:t>
      </w:r>
      <w:r>
        <w:rPr>
          <w:rFonts w:ascii="Arial" w:eastAsia="Times New Roman" w:hAnsi="Arial" w:cs="Arial"/>
          <w:color w:val="auto"/>
          <w:szCs w:val="20"/>
          <w:lang w:eastAsia="fr-FR"/>
        </w:rPr>
        <w:t xml:space="preserve">ition de </w:t>
      </w:r>
      <w:r w:rsidRPr="003863DA">
        <w:rPr>
          <w:rFonts w:ascii="Arial" w:eastAsia="Times New Roman" w:hAnsi="Arial" w:cs="Arial"/>
          <w:color w:val="auto"/>
          <w:szCs w:val="20"/>
          <w:lang w:eastAsia="fr-FR"/>
        </w:rPr>
        <w:t>véhicules faiblement émetteurs ou de véhicules électriques par les petites communes ou les petites entreprises</w:t>
      </w:r>
      <w:r w:rsidR="000B6B71" w:rsidRPr="003863DA">
        <w:rPr>
          <w:rFonts w:ascii="Arial" w:eastAsia="Times New Roman" w:hAnsi="Arial" w:cs="Arial"/>
          <w:color w:val="auto"/>
          <w:szCs w:val="20"/>
          <w:lang w:eastAsia="fr-FR"/>
        </w:rPr>
        <w:t xml:space="preserve"> </w:t>
      </w:r>
      <w:r w:rsidR="003863DA" w:rsidRPr="003863DA">
        <w:rPr>
          <w:rFonts w:ascii="Arial" w:eastAsia="Times New Roman" w:hAnsi="Arial" w:cs="Arial"/>
          <w:color w:val="auto"/>
          <w:szCs w:val="20"/>
          <w:lang w:eastAsia="fr-FR"/>
        </w:rPr>
        <w:t>ou</w:t>
      </w:r>
      <w:r w:rsidR="000B6B71" w:rsidRPr="003863DA">
        <w:rPr>
          <w:rFonts w:ascii="Arial" w:eastAsia="Times New Roman" w:hAnsi="Arial" w:cs="Arial"/>
          <w:color w:val="auto"/>
          <w:szCs w:val="20"/>
          <w:lang w:eastAsia="fr-FR"/>
        </w:rPr>
        <w:t xml:space="preserve"> développer un marché de l’occasion de véhicules moins émetteu</w:t>
      </w:r>
      <w:r w:rsidR="003863DA" w:rsidRPr="003863DA">
        <w:rPr>
          <w:rFonts w:ascii="Arial" w:eastAsia="Times New Roman" w:hAnsi="Arial" w:cs="Arial"/>
          <w:color w:val="auto"/>
          <w:szCs w:val="20"/>
          <w:lang w:eastAsia="fr-FR"/>
        </w:rPr>
        <w:t>rs de polluants</w:t>
      </w:r>
    </w:p>
    <w:p w:rsidR="003859EF" w:rsidRPr="003863DA" w:rsidRDefault="006E745F" w:rsidP="006E745F">
      <w:pPr>
        <w:pStyle w:val="Paragraphedeliste"/>
        <w:numPr>
          <w:ilvl w:val="0"/>
          <w:numId w:val="10"/>
        </w:numPr>
        <w:spacing w:after="0"/>
        <w:rPr>
          <w:rFonts w:ascii="Arial" w:eastAsia="Times New Roman" w:hAnsi="Arial" w:cs="Arial"/>
          <w:color w:val="auto"/>
          <w:szCs w:val="20"/>
          <w:lang w:eastAsia="fr-FR"/>
        </w:rPr>
      </w:pPr>
      <w:r w:rsidRPr="003863DA">
        <w:rPr>
          <w:rFonts w:ascii="Arial" w:eastAsia="Times New Roman" w:hAnsi="Arial" w:cs="Arial"/>
          <w:color w:val="auto"/>
          <w:szCs w:val="20"/>
          <w:lang w:eastAsia="fr-FR"/>
        </w:rPr>
        <w:t xml:space="preserve">Les aménageurs pourraient offrir un service de mobilité en même temps que la vente d'un emplacement </w:t>
      </w:r>
    </w:p>
    <w:p w:rsidR="006E745F" w:rsidRDefault="000E6764" w:rsidP="006E745F">
      <w:pPr>
        <w:pStyle w:val="Paragraphedeliste"/>
        <w:numPr>
          <w:ilvl w:val="0"/>
          <w:numId w:val="10"/>
        </w:numPr>
        <w:spacing w:after="0"/>
        <w:rPr>
          <w:rFonts w:ascii="Arial" w:eastAsia="Times New Roman" w:hAnsi="Arial" w:cs="Arial"/>
          <w:color w:val="auto"/>
          <w:szCs w:val="20"/>
          <w:lang w:eastAsia="fr-FR"/>
        </w:rPr>
      </w:pPr>
      <w:r w:rsidRPr="006E745F">
        <w:rPr>
          <w:rFonts w:ascii="Arial" w:eastAsia="Times New Roman" w:hAnsi="Arial" w:cs="Arial"/>
          <w:color w:val="auto"/>
          <w:szCs w:val="20"/>
          <w:lang w:eastAsia="fr-FR"/>
        </w:rPr>
        <w:t>PDIE à massifier y compris en zones mixtes (résidentielles tertiaires)</w:t>
      </w:r>
    </w:p>
    <w:p w:rsidR="006E745F" w:rsidRPr="006E745F" w:rsidRDefault="006E745F" w:rsidP="006E745F">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rsidR="006E745F" w:rsidRDefault="006E745F" w:rsidP="00461F68">
      <w:pPr>
        <w:jc w:val="right"/>
        <w:rPr>
          <w:rFonts w:ascii="Arial" w:hAnsi="Arial" w:cs="Arial"/>
          <w:sz w:val="16"/>
        </w:rPr>
      </w:pPr>
    </w:p>
    <w:p w:rsidR="006E745F" w:rsidRDefault="006E745F" w:rsidP="00461F68">
      <w:pPr>
        <w:jc w:val="right"/>
        <w:rPr>
          <w:rFonts w:ascii="Arial" w:hAnsi="Arial" w:cs="Arial"/>
          <w:sz w:val="16"/>
        </w:rPr>
      </w:pPr>
    </w:p>
    <w:p w:rsidR="00461F68" w:rsidRPr="00461F68" w:rsidRDefault="003863DA" w:rsidP="00461F68">
      <w:pPr>
        <w:jc w:val="right"/>
        <w:rPr>
          <w:rFonts w:ascii="Arial" w:hAnsi="Arial" w:cs="Arial"/>
          <w:sz w:val="12"/>
        </w:rPr>
      </w:pPr>
      <w:bookmarkStart w:id="0" w:name="_GoBack"/>
      <w:bookmarkEnd w:id="0"/>
      <w:r>
        <w:rPr>
          <w:rFonts w:ascii="Arial" w:hAnsi="Arial" w:cs="Arial"/>
          <w:sz w:val="16"/>
        </w:rPr>
        <w:t>Version du 21</w:t>
      </w:r>
      <w:r w:rsidR="00461F68" w:rsidRPr="00461F68">
        <w:rPr>
          <w:rFonts w:ascii="Arial" w:hAnsi="Arial" w:cs="Arial"/>
          <w:sz w:val="16"/>
        </w:rPr>
        <w:t>/09/2018</w:t>
      </w:r>
    </w:p>
    <w:sectPr w:rsidR="00461F68" w:rsidRPr="00461F68" w:rsidSect="00AE0A2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505" w:rsidRDefault="00802505" w:rsidP="002443DE">
      <w:pPr>
        <w:spacing w:after="0" w:line="240" w:lineRule="auto"/>
      </w:pPr>
      <w:r>
        <w:separator/>
      </w:r>
    </w:p>
  </w:endnote>
  <w:endnote w:type="continuationSeparator" w:id="0">
    <w:p w:rsidR="00802505" w:rsidRDefault="00802505" w:rsidP="0024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axOT-Regular">
    <w:altName w:val="DaxOT-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49033"/>
      <w:docPartObj>
        <w:docPartGallery w:val="Page Numbers (Bottom of Page)"/>
        <w:docPartUnique/>
      </w:docPartObj>
    </w:sdtPr>
    <w:sdtEndPr>
      <w:rPr>
        <w:rFonts w:ascii="Arial" w:hAnsi="Arial" w:cs="Arial"/>
        <w:sz w:val="18"/>
      </w:rPr>
    </w:sdtEndPr>
    <w:sdtContent>
      <w:p w:rsidR="00E16AF0" w:rsidRDefault="00E16AF0">
        <w:pPr>
          <w:pStyle w:val="Pieddepage"/>
          <w:jc w:val="center"/>
        </w:pPr>
      </w:p>
      <w:p w:rsidR="00E16AF0" w:rsidRDefault="00E16AF0">
        <w:pPr>
          <w:pStyle w:val="Pieddepage"/>
          <w:jc w:val="center"/>
          <w:rPr>
            <w:rFonts w:ascii="Arial" w:hAnsi="Arial" w:cs="Arial"/>
            <w:sz w:val="18"/>
          </w:rPr>
        </w:pPr>
        <w:r w:rsidRPr="00A60EE5">
          <w:rPr>
            <w:rFonts w:ascii="Arial" w:hAnsi="Arial" w:cs="Arial"/>
            <w:sz w:val="18"/>
          </w:rPr>
          <w:fldChar w:fldCharType="begin"/>
        </w:r>
        <w:r w:rsidRPr="00A60EE5">
          <w:rPr>
            <w:rFonts w:ascii="Arial" w:hAnsi="Arial" w:cs="Arial"/>
            <w:sz w:val="18"/>
          </w:rPr>
          <w:instrText>PAGE   \* MERGEFORMAT</w:instrText>
        </w:r>
        <w:r w:rsidRPr="00A60EE5">
          <w:rPr>
            <w:rFonts w:ascii="Arial" w:hAnsi="Arial" w:cs="Arial"/>
            <w:sz w:val="18"/>
          </w:rPr>
          <w:fldChar w:fldCharType="separate"/>
        </w:r>
        <w:r w:rsidR="003863DA">
          <w:rPr>
            <w:rFonts w:ascii="Arial" w:hAnsi="Arial" w:cs="Arial"/>
            <w:noProof/>
            <w:sz w:val="18"/>
          </w:rPr>
          <w:t>3</w:t>
        </w:r>
        <w:r w:rsidRPr="00A60EE5">
          <w:rPr>
            <w:rFonts w:ascii="Arial" w:hAnsi="Arial" w:cs="Arial"/>
            <w:sz w:val="18"/>
          </w:rPr>
          <w:fldChar w:fldCharType="end"/>
        </w:r>
      </w:p>
      <w:p w:rsidR="00E16AF0" w:rsidRPr="002508D4" w:rsidRDefault="00E16AF0" w:rsidP="002508D4">
        <w:pPr>
          <w:pStyle w:val="Pieddepage"/>
          <w:jc w:val="center"/>
          <w:rPr>
            <w:rFonts w:ascii="Arial" w:hAnsi="Arial" w:cs="Arial"/>
            <w:sz w:val="18"/>
          </w:rPr>
        </w:pPr>
        <w:r w:rsidRPr="00A60EE5">
          <w:rPr>
            <w:rFonts w:ascii="Arial" w:hAnsi="Arial" w:cs="Arial"/>
            <w:noProof/>
            <w:sz w:val="18"/>
            <w:lang w:eastAsia="fr-FR"/>
          </w:rPr>
          <w:drawing>
            <wp:inline distT="0" distB="0" distL="0" distR="0">
              <wp:extent cx="1935480" cy="1040918"/>
              <wp:effectExtent l="0" t="0" r="7620" b="698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
                      <a:srcRect t="50553" r="35877"/>
                      <a:stretch/>
                    </pic:blipFill>
                    <pic:spPr>
                      <a:xfrm>
                        <a:off x="0" y="0"/>
                        <a:ext cx="1960716" cy="1054490"/>
                      </a:xfrm>
                      <a:prstGeom prst="rect">
                        <a:avLst/>
                      </a:prstGeom>
                    </pic:spPr>
                  </pic:pic>
                </a:graphicData>
              </a:graphic>
            </wp:inline>
          </w:drawing>
        </w:r>
        <w:r w:rsidRPr="002508D4">
          <w:rPr>
            <w:rFonts w:ascii="Arial" w:hAnsi="Arial" w:cs="Arial"/>
            <w:noProof/>
            <w:sz w:val="18"/>
            <w:lang w:eastAsia="fr-FR"/>
          </w:rPr>
          <w:drawing>
            <wp:inline distT="0" distB="0" distL="0" distR="0">
              <wp:extent cx="1790700" cy="658154"/>
              <wp:effectExtent l="0" t="0" r="0" b="889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2"/>
                      <a:srcRect l="406"/>
                      <a:stretch/>
                    </pic:blipFill>
                    <pic:spPr>
                      <a:xfrm>
                        <a:off x="0" y="0"/>
                        <a:ext cx="1815149" cy="667140"/>
                      </a:xfrm>
                      <a:prstGeom prst="rect">
                        <a:avLst/>
                      </a:prstGeom>
                    </pic:spPr>
                  </pic:pic>
                </a:graphicData>
              </a:graphic>
            </wp:inline>
          </w:drawing>
        </w:r>
      </w:p>
    </w:sdtContent>
  </w:sdt>
  <w:p w:rsidR="00E16AF0" w:rsidRDefault="00E16A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505" w:rsidRDefault="00802505" w:rsidP="002443DE">
      <w:pPr>
        <w:spacing w:after="0" w:line="240" w:lineRule="auto"/>
      </w:pPr>
      <w:r>
        <w:separator/>
      </w:r>
    </w:p>
  </w:footnote>
  <w:footnote w:type="continuationSeparator" w:id="0">
    <w:p w:rsidR="00802505" w:rsidRDefault="00802505" w:rsidP="0024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F0" w:rsidRDefault="00E16AF0" w:rsidP="002508D4">
    <w:pPr>
      <w:pStyle w:val="En-tte"/>
      <w:ind w:firstLine="708"/>
    </w:pPr>
  </w:p>
  <w:p w:rsidR="00E16AF0" w:rsidRDefault="00E16A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45A"/>
    <w:multiLevelType w:val="hybridMultilevel"/>
    <w:tmpl w:val="9B4082DA"/>
    <w:lvl w:ilvl="0" w:tplc="96CA3B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50831"/>
    <w:multiLevelType w:val="hybridMultilevel"/>
    <w:tmpl w:val="D6424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344FC"/>
    <w:multiLevelType w:val="hybridMultilevel"/>
    <w:tmpl w:val="8D266B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26D7AFB"/>
    <w:multiLevelType w:val="hybridMultilevel"/>
    <w:tmpl w:val="886621D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33EB9"/>
    <w:multiLevelType w:val="hybridMultilevel"/>
    <w:tmpl w:val="079A15A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A943C03"/>
    <w:multiLevelType w:val="hybridMultilevel"/>
    <w:tmpl w:val="108C4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C36AE4"/>
    <w:multiLevelType w:val="hybridMultilevel"/>
    <w:tmpl w:val="825CA938"/>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63DC5"/>
    <w:multiLevelType w:val="hybridMultilevel"/>
    <w:tmpl w:val="9E22217C"/>
    <w:lvl w:ilvl="0" w:tplc="09182B6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BB461D"/>
    <w:multiLevelType w:val="hybridMultilevel"/>
    <w:tmpl w:val="751EA430"/>
    <w:lvl w:ilvl="0" w:tplc="C3DC7E82">
      <w:start w:val="1"/>
      <w:numFmt w:val="bullet"/>
      <w:lvlText w:val=""/>
      <w:lvlJc w:val="left"/>
      <w:pPr>
        <w:ind w:left="720" w:hanging="360"/>
      </w:pPr>
      <w:rPr>
        <w:rFonts w:ascii="Wingdings 3" w:hAnsi="Wingdings 3" w:hint="default"/>
        <w:sz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650D7A"/>
    <w:multiLevelType w:val="hybridMultilevel"/>
    <w:tmpl w:val="25DA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EB71E7"/>
    <w:multiLevelType w:val="hybridMultilevel"/>
    <w:tmpl w:val="E9DAD8C4"/>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302E2A"/>
    <w:multiLevelType w:val="hybridMultilevel"/>
    <w:tmpl w:val="86165BC8"/>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91ECC"/>
    <w:multiLevelType w:val="hybridMultilevel"/>
    <w:tmpl w:val="76448DF2"/>
    <w:lvl w:ilvl="0" w:tplc="C130D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79428A"/>
    <w:multiLevelType w:val="hybridMultilevel"/>
    <w:tmpl w:val="EA5EC680"/>
    <w:lvl w:ilvl="0" w:tplc="893A02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A15F9"/>
    <w:multiLevelType w:val="hybridMultilevel"/>
    <w:tmpl w:val="2D185834"/>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05237D"/>
    <w:multiLevelType w:val="hybridMultilevel"/>
    <w:tmpl w:val="481CDA78"/>
    <w:lvl w:ilvl="0" w:tplc="8AE28748">
      <w:start w:val="5"/>
      <w:numFmt w:val="bullet"/>
      <w:lvlText w:val=""/>
      <w:lvlJc w:val="left"/>
      <w:pPr>
        <w:ind w:left="720" w:hanging="360"/>
      </w:pPr>
      <w:rPr>
        <w:rFonts w:ascii="Symbol" w:eastAsiaTheme="minorHAnsi" w:hAnsi="Symbol" w:cs="DaxOT-Regular" w:hint="default"/>
        <w:b w:val="0"/>
        <w:color w:val="1F4E79" w:themeColor="accent1" w:themeShade="80"/>
        <w:sz w:val="20"/>
      </w:rPr>
    </w:lvl>
    <w:lvl w:ilvl="1" w:tplc="074A209A">
      <w:start w:val="1"/>
      <w:numFmt w:val="bullet"/>
      <w:lvlText w:val="→"/>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F92E01"/>
    <w:multiLevelType w:val="hybridMultilevel"/>
    <w:tmpl w:val="2876A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F56CB4"/>
    <w:multiLevelType w:val="hybridMultilevel"/>
    <w:tmpl w:val="F5068A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4009D6"/>
    <w:multiLevelType w:val="hybridMultilevel"/>
    <w:tmpl w:val="F1025C5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9"/>
  </w:num>
  <w:num w:numId="5">
    <w:abstractNumId w:val="4"/>
  </w:num>
  <w:num w:numId="6">
    <w:abstractNumId w:val="2"/>
  </w:num>
  <w:num w:numId="7">
    <w:abstractNumId w:val="3"/>
  </w:num>
  <w:num w:numId="8">
    <w:abstractNumId w:val="6"/>
  </w:num>
  <w:num w:numId="9">
    <w:abstractNumId w:val="10"/>
  </w:num>
  <w:num w:numId="10">
    <w:abstractNumId w:val="18"/>
  </w:num>
  <w:num w:numId="11">
    <w:abstractNumId w:val="11"/>
  </w:num>
  <w:num w:numId="12">
    <w:abstractNumId w:val="7"/>
  </w:num>
  <w:num w:numId="13">
    <w:abstractNumId w:val="5"/>
  </w:num>
  <w:num w:numId="14">
    <w:abstractNumId w:val="17"/>
  </w:num>
  <w:num w:numId="15">
    <w:abstractNumId w:val="14"/>
  </w:num>
  <w:num w:numId="16">
    <w:abstractNumId w:val="12"/>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71"/>
    <w:rsid w:val="00040E2C"/>
    <w:rsid w:val="000B2704"/>
    <w:rsid w:val="000B6B71"/>
    <w:rsid w:val="000E6764"/>
    <w:rsid w:val="00106971"/>
    <w:rsid w:val="00115570"/>
    <w:rsid w:val="001661E3"/>
    <w:rsid w:val="001706C0"/>
    <w:rsid w:val="00190B04"/>
    <w:rsid w:val="001916C6"/>
    <w:rsid w:val="001A521F"/>
    <w:rsid w:val="001B6CCD"/>
    <w:rsid w:val="001E0617"/>
    <w:rsid w:val="0020241B"/>
    <w:rsid w:val="00237FD4"/>
    <w:rsid w:val="002443DE"/>
    <w:rsid w:val="002508D4"/>
    <w:rsid w:val="002F4A76"/>
    <w:rsid w:val="00380BAA"/>
    <w:rsid w:val="003859EF"/>
    <w:rsid w:val="003863DA"/>
    <w:rsid w:val="003B04A1"/>
    <w:rsid w:val="003F1814"/>
    <w:rsid w:val="00437C91"/>
    <w:rsid w:val="00461F68"/>
    <w:rsid w:val="00462867"/>
    <w:rsid w:val="005112C1"/>
    <w:rsid w:val="00535876"/>
    <w:rsid w:val="005769A1"/>
    <w:rsid w:val="005B2903"/>
    <w:rsid w:val="005C4A9E"/>
    <w:rsid w:val="00640A22"/>
    <w:rsid w:val="006B690B"/>
    <w:rsid w:val="006E745F"/>
    <w:rsid w:val="007B4111"/>
    <w:rsid w:val="00802505"/>
    <w:rsid w:val="00812A73"/>
    <w:rsid w:val="00976CB2"/>
    <w:rsid w:val="009E4254"/>
    <w:rsid w:val="009F7293"/>
    <w:rsid w:val="00A24CEF"/>
    <w:rsid w:val="00A4172F"/>
    <w:rsid w:val="00A60EE5"/>
    <w:rsid w:val="00AD0D46"/>
    <w:rsid w:val="00AD3B64"/>
    <w:rsid w:val="00AE0A2F"/>
    <w:rsid w:val="00B0580A"/>
    <w:rsid w:val="00B12682"/>
    <w:rsid w:val="00B976EA"/>
    <w:rsid w:val="00BD38FC"/>
    <w:rsid w:val="00CB78F3"/>
    <w:rsid w:val="00D4117A"/>
    <w:rsid w:val="00D84FD5"/>
    <w:rsid w:val="00E16AF0"/>
    <w:rsid w:val="00E576F8"/>
    <w:rsid w:val="00F93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20F0F"/>
  <w15:docId w15:val="{A328BAA2-139D-49CD-BBB8-BD07BEF0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6 pt paragraphe carré,texte tableau,Paragraphe de liste num,Paragraphe de liste 1,Listes,Legende,Tab n1,Puce focus,Contact,calia titre 3,Titre 1 Car1,armelle Car,Ondertekst Avida,Paragraphe de liste2,List Paragraph,lp1"/>
    <w:basedOn w:val="Normal"/>
    <w:link w:val="ParagraphedelisteCar"/>
    <w:uiPriority w:val="34"/>
    <w:qFormat/>
    <w:rsid w:val="00D4117A"/>
    <w:pPr>
      <w:spacing w:after="120" w:line="240" w:lineRule="auto"/>
      <w:ind w:left="720"/>
      <w:contextualSpacing/>
      <w:jc w:val="both"/>
    </w:pPr>
    <w:rPr>
      <w:rFonts w:cs="DaxOT-Regular"/>
      <w:color w:val="000000"/>
      <w:sz w:val="20"/>
      <w:szCs w:val="18"/>
    </w:rPr>
  </w:style>
  <w:style w:type="character" w:customStyle="1" w:styleId="ParagraphedelisteCar">
    <w:name w:val="Paragraphe de liste Car"/>
    <w:aliases w:val="texte de base Car,6 pt paragraphe carré Car,texte tableau Car,Paragraphe de liste num Car,Paragraphe de liste 1 Car,Listes Car,Legende Car,Tab n1 Car,Puce focus Car,Contact Car,calia titre 3 Car,Titre 1 Car1 Car,armelle Car Car"/>
    <w:basedOn w:val="Policepardfaut"/>
    <w:link w:val="Paragraphedeliste"/>
    <w:uiPriority w:val="34"/>
    <w:qFormat/>
    <w:locked/>
    <w:rsid w:val="00D4117A"/>
    <w:rPr>
      <w:rFonts w:cs="DaxOT-Regular"/>
      <w:color w:val="000000"/>
      <w:sz w:val="20"/>
      <w:szCs w:val="18"/>
    </w:rPr>
  </w:style>
  <w:style w:type="paragraph" w:styleId="En-tte">
    <w:name w:val="header"/>
    <w:basedOn w:val="Normal"/>
    <w:link w:val="En-tteCar"/>
    <w:uiPriority w:val="99"/>
    <w:unhideWhenUsed/>
    <w:rsid w:val="002443DE"/>
    <w:pPr>
      <w:tabs>
        <w:tab w:val="center" w:pos="4536"/>
        <w:tab w:val="right" w:pos="9072"/>
      </w:tabs>
      <w:spacing w:after="0" w:line="240" w:lineRule="auto"/>
    </w:pPr>
  </w:style>
  <w:style w:type="character" w:customStyle="1" w:styleId="En-tteCar">
    <w:name w:val="En-tête Car"/>
    <w:basedOn w:val="Policepardfaut"/>
    <w:link w:val="En-tte"/>
    <w:uiPriority w:val="99"/>
    <w:rsid w:val="002443DE"/>
  </w:style>
  <w:style w:type="paragraph" w:styleId="Pieddepage">
    <w:name w:val="footer"/>
    <w:basedOn w:val="Normal"/>
    <w:link w:val="PieddepageCar"/>
    <w:uiPriority w:val="99"/>
    <w:unhideWhenUsed/>
    <w:rsid w:val="00244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43DE"/>
  </w:style>
  <w:style w:type="table" w:styleId="Grilledutableau">
    <w:name w:val="Table Grid"/>
    <w:basedOn w:val="TableauNormal"/>
    <w:uiPriority w:val="39"/>
    <w:rsid w:val="002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72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7293"/>
    <w:rPr>
      <w:rFonts w:ascii="Segoe UI" w:hAnsi="Segoe UI" w:cs="Segoe UI"/>
      <w:sz w:val="18"/>
      <w:szCs w:val="18"/>
    </w:rPr>
  </w:style>
  <w:style w:type="paragraph" w:customStyle="1" w:styleId="Default">
    <w:name w:val="Default"/>
    <w:rsid w:val="00B126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1090</Words>
  <Characters>5998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GRANDOU Agnès</dc:creator>
  <cp:lastModifiedBy>GRANDOU Agnès</cp:lastModifiedBy>
  <cp:revision>3</cp:revision>
  <dcterms:created xsi:type="dcterms:W3CDTF">2018-09-21T15:30:00Z</dcterms:created>
  <dcterms:modified xsi:type="dcterms:W3CDTF">2018-09-21T15:38:00Z</dcterms:modified>
</cp:coreProperties>
</file>