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-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726"/>
      </w:tblGrid>
      <w:tr w:rsidR="002508D4" w14:paraId="7A97999A" w14:textId="77777777" w:rsidTr="002508D4">
        <w:tc>
          <w:tcPr>
            <w:tcW w:w="2346" w:type="dxa"/>
          </w:tcPr>
          <w:p w14:paraId="61B1C1B9" w14:textId="77777777" w:rsidR="002508D4" w:rsidRDefault="002508D4" w:rsidP="0025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8D4">
              <w:rPr>
                <w:noProof/>
                <w:lang w:eastAsia="fr-FR"/>
              </w:rPr>
              <w:drawing>
                <wp:inline distT="0" distB="0" distL="0" distR="0" wp14:anchorId="68342E64" wp14:editId="34E48EDE">
                  <wp:extent cx="1352550" cy="914874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45883"/>
                          <a:stretch/>
                        </pic:blipFill>
                        <pic:spPr>
                          <a:xfrm>
                            <a:off x="0" y="0"/>
                            <a:ext cx="1356678" cy="91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2903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</w:p>
          <w:p w14:paraId="7B61C985" w14:textId="77777777" w:rsidR="002508D4" w:rsidRDefault="002508D4" w:rsidP="0025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6" w:type="dxa"/>
          </w:tcPr>
          <w:p w14:paraId="717CE20F" w14:textId="77777777" w:rsidR="002508D4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  <w:p w14:paraId="5EF94545" w14:textId="77777777" w:rsidR="002508D4" w:rsidRPr="005B2903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B2903">
              <w:rPr>
                <w:rFonts w:ascii="Arial" w:hAnsi="Arial" w:cs="Arial"/>
                <w:b/>
                <w:sz w:val="28"/>
                <w:szCs w:val="20"/>
              </w:rPr>
              <w:t>Coalition stratégique COP21</w:t>
            </w:r>
          </w:p>
          <w:p w14:paraId="7A5476BF" w14:textId="1E76B283" w:rsidR="004E2B40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B2903">
              <w:rPr>
                <w:rFonts w:ascii="Arial" w:hAnsi="Arial" w:cs="Arial"/>
                <w:b/>
                <w:sz w:val="28"/>
                <w:szCs w:val="20"/>
              </w:rPr>
              <w:t>« </w:t>
            </w:r>
            <w:r w:rsidR="008E23D5">
              <w:rPr>
                <w:rFonts w:ascii="Arial" w:hAnsi="Arial" w:cs="Arial"/>
                <w:b/>
                <w:sz w:val="28"/>
                <w:szCs w:val="20"/>
              </w:rPr>
              <w:t>Construction et rénovation</w:t>
            </w:r>
            <w:r w:rsidR="004E2B40" w:rsidRPr="004E2B40">
              <w:rPr>
                <w:rFonts w:ascii="Arial" w:hAnsi="Arial" w:cs="Arial"/>
                <w:b/>
                <w:sz w:val="28"/>
                <w:szCs w:val="20"/>
              </w:rPr>
              <w:t xml:space="preserve"> : </w:t>
            </w:r>
          </w:p>
          <w:p w14:paraId="1BE35098" w14:textId="0357F0B6" w:rsidR="002508D4" w:rsidRDefault="008E23D5" w:rsidP="0025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0"/>
              </w:rPr>
              <w:t xml:space="preserve">Vers une filière bas carbone </w:t>
            </w:r>
            <w:r w:rsidR="002508D4" w:rsidRPr="005B2903">
              <w:rPr>
                <w:rFonts w:ascii="Arial" w:hAnsi="Arial" w:cs="Arial"/>
                <w:b/>
                <w:sz w:val="28"/>
                <w:szCs w:val="20"/>
              </w:rPr>
              <w:t>»</w:t>
            </w:r>
          </w:p>
        </w:tc>
      </w:tr>
    </w:tbl>
    <w:p w14:paraId="164BF303" w14:textId="77777777" w:rsidR="004E2B40" w:rsidRDefault="004E2B40">
      <w:pPr>
        <w:rPr>
          <w:rFonts w:ascii="Arial" w:hAnsi="Arial" w:cs="Arial"/>
          <w:i/>
          <w:sz w:val="20"/>
          <w:szCs w:val="20"/>
        </w:rPr>
      </w:pPr>
    </w:p>
    <w:p w14:paraId="24ECA69A" w14:textId="22FA9837" w:rsidR="005C4A9E" w:rsidRDefault="005C4A9E" w:rsidP="00422B81">
      <w:pPr>
        <w:jc w:val="both"/>
        <w:rPr>
          <w:rFonts w:ascii="Arial" w:hAnsi="Arial" w:cs="Arial"/>
          <w:i/>
          <w:sz w:val="20"/>
          <w:szCs w:val="20"/>
        </w:rPr>
      </w:pPr>
      <w:r w:rsidRPr="00640A22">
        <w:rPr>
          <w:rFonts w:ascii="Arial" w:hAnsi="Arial" w:cs="Arial"/>
          <w:i/>
          <w:sz w:val="20"/>
          <w:szCs w:val="20"/>
        </w:rPr>
        <w:t xml:space="preserve">Cette coalition réunit les acteurs </w:t>
      </w:r>
      <w:r w:rsidR="008E23D5">
        <w:rPr>
          <w:rFonts w:ascii="Arial" w:hAnsi="Arial" w:cs="Arial"/>
          <w:i/>
          <w:sz w:val="20"/>
          <w:szCs w:val="20"/>
        </w:rPr>
        <w:t xml:space="preserve">des secteurs concernés par une filière bas carbone pour la construction et la rénovation, à savoir des acteurs de l’amont de la filière – approvisionnement - </w:t>
      </w:r>
      <w:r w:rsidR="00640A22" w:rsidRPr="00422B81">
        <w:rPr>
          <w:rFonts w:ascii="Arial" w:hAnsi="Arial" w:cs="Arial"/>
          <w:i/>
          <w:sz w:val="20"/>
          <w:szCs w:val="20"/>
        </w:rPr>
        <w:t>(</w:t>
      </w:r>
      <w:r w:rsidR="006663A2">
        <w:rPr>
          <w:rFonts w:ascii="Arial" w:hAnsi="Arial" w:cs="Arial"/>
          <w:i/>
          <w:sz w:val="20"/>
          <w:szCs w:val="20"/>
        </w:rPr>
        <w:t>Chambre d’agriculture, ONF, Profession Bois, URCOFOR</w:t>
      </w:r>
      <w:r w:rsidR="00640A22" w:rsidRPr="00422B81">
        <w:rPr>
          <w:rFonts w:ascii="Arial" w:hAnsi="Arial" w:cs="Arial"/>
          <w:i/>
          <w:sz w:val="20"/>
          <w:szCs w:val="20"/>
        </w:rPr>
        <w:t>…)</w:t>
      </w:r>
      <w:r w:rsidRPr="00640A22">
        <w:rPr>
          <w:rFonts w:ascii="Arial" w:hAnsi="Arial" w:cs="Arial"/>
          <w:i/>
          <w:sz w:val="20"/>
          <w:szCs w:val="20"/>
        </w:rPr>
        <w:t xml:space="preserve"> </w:t>
      </w:r>
      <w:r w:rsidR="00422B81">
        <w:rPr>
          <w:rFonts w:ascii="Arial" w:hAnsi="Arial" w:cs="Arial"/>
          <w:i/>
          <w:sz w:val="20"/>
          <w:szCs w:val="20"/>
        </w:rPr>
        <w:t xml:space="preserve">ainsi que des acteurs </w:t>
      </w:r>
      <w:r w:rsidR="006663A2">
        <w:rPr>
          <w:rFonts w:ascii="Arial" w:hAnsi="Arial" w:cs="Arial"/>
          <w:i/>
          <w:sz w:val="20"/>
          <w:szCs w:val="20"/>
        </w:rPr>
        <w:t xml:space="preserve">de l’aval de la filière – construction, formation, commercialisation - </w:t>
      </w:r>
      <w:r w:rsidR="00422B81">
        <w:rPr>
          <w:rFonts w:ascii="Arial" w:hAnsi="Arial" w:cs="Arial"/>
          <w:i/>
          <w:sz w:val="20"/>
          <w:szCs w:val="20"/>
        </w:rPr>
        <w:t>(</w:t>
      </w:r>
      <w:r w:rsidR="006663A2">
        <w:rPr>
          <w:rFonts w:ascii="Arial" w:hAnsi="Arial" w:cs="Arial"/>
          <w:i/>
          <w:sz w:val="20"/>
          <w:szCs w:val="20"/>
        </w:rPr>
        <w:t>Unilasalle, CAPEB, ordre des architectes, FFB, RNA, Chambre des Métiers, constructeurs…</w:t>
      </w:r>
      <w:r w:rsidR="00640A22">
        <w:rPr>
          <w:rFonts w:ascii="Arial" w:hAnsi="Arial" w:cs="Arial"/>
          <w:i/>
          <w:sz w:val="20"/>
          <w:szCs w:val="20"/>
        </w:rPr>
        <w:t xml:space="preserve">). Elle a pour objectif de définir la feuille de route de mobilisation des acteurs du territoire </w:t>
      </w:r>
      <w:r w:rsidR="004E2B40">
        <w:rPr>
          <w:rFonts w:ascii="Arial" w:hAnsi="Arial" w:cs="Arial"/>
          <w:i/>
          <w:sz w:val="20"/>
          <w:szCs w:val="20"/>
        </w:rPr>
        <w:t xml:space="preserve">pour réaliser des actions favorisant </w:t>
      </w:r>
      <w:r w:rsidR="006663A2">
        <w:rPr>
          <w:rFonts w:ascii="Arial" w:hAnsi="Arial" w:cs="Arial"/>
          <w:i/>
          <w:sz w:val="20"/>
          <w:szCs w:val="20"/>
        </w:rPr>
        <w:t>la mise en place d’une filière bas carbone pour la construction et la rénovation</w:t>
      </w:r>
      <w:r w:rsidR="00640A22">
        <w:rPr>
          <w:rFonts w:ascii="Arial" w:hAnsi="Arial" w:cs="Arial"/>
          <w:i/>
          <w:sz w:val="20"/>
          <w:szCs w:val="20"/>
        </w:rPr>
        <w:t>. Il s’agit notamment :</w:t>
      </w:r>
    </w:p>
    <w:p w14:paraId="25C02CF3" w14:textId="77777777" w:rsidR="00640A22" w:rsidRDefault="00640A22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De déterminer des leviers d’actions pour massifier l’action dans ce domaine</w:t>
      </w:r>
    </w:p>
    <w:p w14:paraId="5889394C" w14:textId="77777777" w:rsidR="00640A22" w:rsidRDefault="00640A22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D’identifier l’action attendue des différents acteurs</w:t>
      </w:r>
    </w:p>
    <w:p w14:paraId="2367FC57" w14:textId="77777777" w:rsidR="00640A22" w:rsidRDefault="00640A22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De fixer une feuille de route collective</w:t>
      </w:r>
    </w:p>
    <w:p w14:paraId="67486660" w14:textId="77777777" w:rsidR="00AD3B64" w:rsidRPr="00640A22" w:rsidRDefault="00AD3B64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De synthétiser ces trois éléments dans un « appel » aux acteurs concernés pour susciter leur engagement </w:t>
      </w:r>
    </w:p>
    <w:p w14:paraId="28C12A9D" w14:textId="0A809A94" w:rsidR="002508D4" w:rsidRPr="00640A22" w:rsidRDefault="002508D4">
      <w:pPr>
        <w:rPr>
          <w:rFonts w:ascii="Arial" w:hAnsi="Arial" w:cs="Arial"/>
          <w:i/>
          <w:sz w:val="20"/>
          <w:szCs w:val="20"/>
        </w:rPr>
      </w:pPr>
    </w:p>
    <w:p w14:paraId="158C904B" w14:textId="77777777" w:rsidR="00106971" w:rsidRPr="005B2903" w:rsidRDefault="00106971">
      <w:pPr>
        <w:rPr>
          <w:rFonts w:ascii="Arial" w:hAnsi="Arial" w:cs="Arial"/>
          <w:b/>
          <w:sz w:val="24"/>
          <w:szCs w:val="20"/>
        </w:rPr>
      </w:pPr>
      <w:r w:rsidRPr="005B2903">
        <w:rPr>
          <w:rFonts w:ascii="Arial" w:hAnsi="Arial" w:cs="Arial"/>
          <w:b/>
          <w:sz w:val="24"/>
          <w:szCs w:val="20"/>
        </w:rPr>
        <w:t>1/ Objectifs stratégiques et plan d’action du PCAET</w:t>
      </w:r>
    </w:p>
    <w:p w14:paraId="7BB624EA" w14:textId="77777777" w:rsidR="006663A2" w:rsidRPr="005B2903" w:rsidRDefault="006663A2" w:rsidP="006663A2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5B2903">
        <w:rPr>
          <w:rFonts w:ascii="Arial" w:hAnsi="Arial" w:cs="Arial"/>
          <w:b/>
          <w:sz w:val="20"/>
          <w:szCs w:val="20"/>
          <w:lang w:eastAsia="fr-FR"/>
        </w:rPr>
        <w:t>La Métropole a pour ambition d’accompagner le territoire vers un modèle « 100 % </w:t>
      </w:r>
      <w:r>
        <w:rPr>
          <w:rFonts w:ascii="Arial" w:hAnsi="Arial" w:cs="Arial"/>
          <w:b/>
          <w:sz w:val="20"/>
          <w:szCs w:val="20"/>
          <w:lang w:eastAsia="fr-FR"/>
        </w:rPr>
        <w:t>Energie renouvelable</w:t>
      </w:r>
      <w:r w:rsidRPr="005B2903">
        <w:rPr>
          <w:rFonts w:ascii="Arial" w:hAnsi="Arial" w:cs="Arial"/>
          <w:b/>
          <w:sz w:val="20"/>
          <w:szCs w:val="20"/>
          <w:lang w:eastAsia="fr-FR"/>
        </w:rPr>
        <w:t xml:space="preserve"> » et de réduire de 80% les émissions de gaz à effet de serre à l’horizon 2050. </w:t>
      </w:r>
    </w:p>
    <w:p w14:paraId="093B80D5" w14:textId="3AE9576F" w:rsidR="00722046" w:rsidRPr="00722046" w:rsidRDefault="00722046" w:rsidP="00722046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Pour ce faire, l</w:t>
      </w:r>
      <w:r w:rsidRPr="00722046">
        <w:rPr>
          <w:rFonts w:ascii="Arial" w:hAnsi="Arial" w:cs="Arial"/>
          <w:sz w:val="20"/>
          <w:szCs w:val="20"/>
          <w:lang w:eastAsia="fr-FR"/>
        </w:rPr>
        <w:t>a Métropole Rouen Normandie se fixe pour objectif de rénover massivement le parc de logem</w:t>
      </w:r>
      <w:r>
        <w:rPr>
          <w:rFonts w:ascii="Arial" w:hAnsi="Arial" w:cs="Arial"/>
          <w:sz w:val="20"/>
          <w:szCs w:val="20"/>
          <w:lang w:eastAsia="fr-FR"/>
        </w:rPr>
        <w:t>ents et de bâtiments tertiaires</w:t>
      </w:r>
      <w:r w:rsidRPr="00722046">
        <w:rPr>
          <w:rFonts w:ascii="Arial" w:hAnsi="Arial" w:cs="Arial"/>
          <w:sz w:val="20"/>
          <w:szCs w:val="20"/>
          <w:lang w:eastAsia="fr-FR"/>
        </w:rPr>
        <w:t xml:space="preserve"> d’ici 2050 et d’atteindre 100 % des bâtiments avec un niveau de performance énergétique équivalente au niveau « BBC rénovation ». </w:t>
      </w:r>
    </w:p>
    <w:p w14:paraId="4ACA2021" w14:textId="77777777" w:rsidR="00722046" w:rsidRPr="00722046" w:rsidRDefault="00722046" w:rsidP="00722046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722046">
        <w:rPr>
          <w:rFonts w:ascii="Arial" w:hAnsi="Arial" w:cs="Arial"/>
          <w:sz w:val="20"/>
          <w:szCs w:val="20"/>
          <w:lang w:eastAsia="fr-FR"/>
        </w:rPr>
        <w:t xml:space="preserve">Cette ambition se traduira concrètement par une augmentation progressive du nombre de logements rénovés, ce qui représentera pour le territoire d’ici 2030 : </w:t>
      </w:r>
    </w:p>
    <w:p w14:paraId="473F6708" w14:textId="77777777" w:rsidR="00722046" w:rsidRPr="00722046" w:rsidRDefault="00722046" w:rsidP="00722046">
      <w:pPr>
        <w:pStyle w:val="Paragraphedeliste"/>
        <w:numPr>
          <w:ilvl w:val="0"/>
          <w:numId w:val="21"/>
        </w:numPr>
        <w:rPr>
          <w:rFonts w:ascii="Arial" w:hAnsi="Arial" w:cs="Arial"/>
          <w:szCs w:val="20"/>
          <w:lang w:eastAsia="fr-FR"/>
        </w:rPr>
      </w:pPr>
      <w:r w:rsidRPr="00722046">
        <w:rPr>
          <w:rFonts w:ascii="Arial" w:hAnsi="Arial" w:cs="Arial"/>
          <w:szCs w:val="20"/>
          <w:lang w:eastAsia="fr-FR"/>
        </w:rPr>
        <w:t>45 000 rénovations, soit 20 % du parc de logements,</w:t>
      </w:r>
    </w:p>
    <w:p w14:paraId="66607DF6" w14:textId="77777777" w:rsidR="00722046" w:rsidRPr="00722046" w:rsidRDefault="00722046" w:rsidP="00722046">
      <w:pPr>
        <w:pStyle w:val="Paragraphedeliste"/>
        <w:numPr>
          <w:ilvl w:val="0"/>
          <w:numId w:val="21"/>
        </w:numPr>
        <w:rPr>
          <w:rFonts w:ascii="Arial" w:hAnsi="Arial" w:cs="Arial"/>
          <w:szCs w:val="20"/>
          <w:lang w:eastAsia="fr-FR"/>
        </w:rPr>
      </w:pPr>
      <w:r w:rsidRPr="00722046">
        <w:rPr>
          <w:rFonts w:ascii="Arial" w:hAnsi="Arial" w:cs="Arial"/>
          <w:szCs w:val="20"/>
          <w:lang w:eastAsia="fr-FR"/>
        </w:rPr>
        <w:t xml:space="preserve">130 M€ de travaux par an et 1 500 emplois dédiés, </w:t>
      </w:r>
    </w:p>
    <w:p w14:paraId="2D80310C" w14:textId="1ECD4154" w:rsidR="00573D01" w:rsidRPr="00722046" w:rsidRDefault="00722046" w:rsidP="00722046">
      <w:pPr>
        <w:pStyle w:val="Paragraphedeliste"/>
        <w:numPr>
          <w:ilvl w:val="0"/>
          <w:numId w:val="21"/>
        </w:numPr>
        <w:rPr>
          <w:rFonts w:ascii="Arial" w:hAnsi="Arial" w:cs="Arial"/>
          <w:szCs w:val="20"/>
          <w:lang w:eastAsia="fr-FR"/>
        </w:rPr>
      </w:pPr>
      <w:r w:rsidRPr="00722046">
        <w:rPr>
          <w:rFonts w:ascii="Arial" w:hAnsi="Arial" w:cs="Arial"/>
          <w:szCs w:val="20"/>
          <w:lang w:eastAsia="fr-FR"/>
        </w:rPr>
        <w:t>9 M€/an d’économie sur la facture énergétique des ménages de la Métropole.</w:t>
      </w:r>
    </w:p>
    <w:p w14:paraId="481D36FD" w14:textId="3EB708A0" w:rsidR="006663A2" w:rsidRPr="00722046" w:rsidRDefault="006663A2" w:rsidP="00722046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722046">
        <w:rPr>
          <w:rFonts w:ascii="Arial" w:hAnsi="Arial" w:cs="Arial"/>
          <w:sz w:val="20"/>
          <w:szCs w:val="20"/>
          <w:lang w:eastAsia="fr-FR"/>
        </w:rPr>
        <w:t xml:space="preserve">La construction de logements neufs doit </w:t>
      </w:r>
      <w:r w:rsidR="00722046">
        <w:rPr>
          <w:rFonts w:ascii="Arial" w:hAnsi="Arial" w:cs="Arial"/>
          <w:sz w:val="20"/>
          <w:szCs w:val="20"/>
          <w:lang w:eastAsia="fr-FR"/>
        </w:rPr>
        <w:t xml:space="preserve">également </w:t>
      </w:r>
      <w:r w:rsidRPr="00722046">
        <w:rPr>
          <w:rFonts w:ascii="Arial" w:hAnsi="Arial" w:cs="Arial"/>
          <w:sz w:val="20"/>
          <w:szCs w:val="20"/>
          <w:lang w:eastAsia="fr-FR"/>
        </w:rPr>
        <w:t xml:space="preserve">permettre de répondre aux enjeux des habitations de demain tant en termes de qualité de vie que de performance environnementale et énergétique. </w:t>
      </w:r>
    </w:p>
    <w:p w14:paraId="7772B317" w14:textId="77777777" w:rsidR="00722046" w:rsidRDefault="006663A2" w:rsidP="00722046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722046">
        <w:rPr>
          <w:rFonts w:ascii="Arial" w:hAnsi="Arial" w:cs="Arial"/>
          <w:sz w:val="20"/>
          <w:szCs w:val="20"/>
          <w:lang w:eastAsia="fr-FR"/>
        </w:rPr>
        <w:t xml:space="preserve">L’enjeux pour le territoire est de pouvoir anticiper les futures règlementations et de développer l’économie locale pour devenir </w:t>
      </w:r>
      <w:r w:rsidRPr="00722046">
        <w:rPr>
          <w:rFonts w:ascii="Arial" w:hAnsi="Arial" w:cs="Arial"/>
          <w:b/>
          <w:sz w:val="20"/>
          <w:szCs w:val="20"/>
          <w:lang w:eastAsia="fr-FR"/>
        </w:rPr>
        <w:t>un territoire démonstrateur et innovant dans la construction de bâtiments bas-carbone</w:t>
      </w:r>
      <w:r w:rsidRPr="00722046">
        <w:rPr>
          <w:rFonts w:ascii="Arial" w:hAnsi="Arial" w:cs="Arial"/>
          <w:sz w:val="20"/>
          <w:szCs w:val="20"/>
          <w:lang w:eastAsia="fr-FR"/>
        </w:rPr>
        <w:t xml:space="preserve">.  </w:t>
      </w:r>
    </w:p>
    <w:p w14:paraId="23D36E1D" w14:textId="64D917CB" w:rsidR="006663A2" w:rsidRPr="00722046" w:rsidRDefault="006663A2" w:rsidP="00722046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722046">
        <w:rPr>
          <w:rFonts w:ascii="Arial" w:hAnsi="Arial" w:cs="Arial"/>
          <w:sz w:val="20"/>
          <w:szCs w:val="20"/>
          <w:lang w:eastAsia="fr-FR"/>
        </w:rPr>
        <w:t>L’ensemble de la filière « bâtiment » est ainsi concernée par ce nouveau type de construction ; de nouveaux marchés pourront également être confortés avec le développement des matériaux bio-sourcés, d’origine locale, issus par exemple des forêts gérées durablement (bois construction/bois matériau) ou de la culture du chanvre. Tous ces éléments induisent enfin un enjeu d’accompagnement technique des opérations architecturales et techniques.</w:t>
      </w:r>
    </w:p>
    <w:p w14:paraId="2E304D78" w14:textId="77777777" w:rsidR="00C83C31" w:rsidRDefault="00C83C31" w:rsidP="00C83C31">
      <w:pPr>
        <w:jc w:val="both"/>
        <w:rPr>
          <w:b/>
          <w:noProof/>
          <w:color w:val="1F4E79" w:themeColor="accent1" w:themeShade="80"/>
          <w:lang w:eastAsia="fr-FR"/>
        </w:rPr>
      </w:pPr>
    </w:p>
    <w:p w14:paraId="6D2AC9D0" w14:textId="340B3D02" w:rsidR="003F1814" w:rsidRPr="005B2903" w:rsidRDefault="005B2903" w:rsidP="00C83C31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5B2903">
        <w:rPr>
          <w:rFonts w:ascii="Arial" w:hAnsi="Arial" w:cs="Arial"/>
          <w:sz w:val="20"/>
          <w:szCs w:val="20"/>
          <w:lang w:eastAsia="fr-FR"/>
        </w:rPr>
        <w:lastRenderedPageBreak/>
        <w:t>Les engagements pris par la Métropole dans le cadre de son Plan Climat Air Energie Territorial</w:t>
      </w:r>
      <w:r w:rsidR="00B976EA">
        <w:rPr>
          <w:rFonts w:ascii="Arial" w:hAnsi="Arial" w:cs="Arial"/>
          <w:sz w:val="20"/>
          <w:szCs w:val="20"/>
          <w:lang w:eastAsia="fr-FR"/>
        </w:rPr>
        <w:t xml:space="preserve"> (PCAET)</w:t>
      </w:r>
      <w:r w:rsidRPr="005B2903">
        <w:rPr>
          <w:rFonts w:ascii="Arial" w:hAnsi="Arial" w:cs="Arial"/>
          <w:sz w:val="20"/>
          <w:szCs w:val="20"/>
          <w:lang w:eastAsia="fr-FR"/>
        </w:rPr>
        <w:t xml:space="preserve"> portent sur les actions suivantes :</w:t>
      </w:r>
    </w:p>
    <w:p w14:paraId="299A9190" w14:textId="77777777" w:rsidR="00544C0D" w:rsidRPr="00544C0D" w:rsidRDefault="00544C0D" w:rsidP="00544C0D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71241514" w14:textId="77777777" w:rsidR="00722046" w:rsidRPr="00722046" w:rsidRDefault="00722046" w:rsidP="00722046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722046">
        <w:rPr>
          <w:rFonts w:ascii="Arial" w:eastAsia="Times New Roman" w:hAnsi="Arial" w:cs="Arial"/>
          <w:b/>
          <w:bCs/>
          <w:szCs w:val="20"/>
          <w:lang w:eastAsia="fr-FR"/>
        </w:rPr>
        <w:t>Soutenir la construction ou l'extension des bâtiments bas-carbone et de conception bioclimatique</w:t>
      </w:r>
    </w:p>
    <w:p w14:paraId="28E35A55" w14:textId="77777777" w:rsidR="00722046" w:rsidRDefault="00722046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722046">
        <w:rPr>
          <w:rFonts w:ascii="Arial" w:eastAsia="Times New Roman" w:hAnsi="Arial" w:cs="Arial"/>
          <w:color w:val="auto"/>
          <w:szCs w:val="20"/>
          <w:lang w:eastAsia="fr-FR"/>
        </w:rPr>
        <w:t xml:space="preserve">Favoriser l’émergence de bâtiments </w:t>
      </w: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bas-carbone sur le territoire </w:t>
      </w:r>
    </w:p>
    <w:p w14:paraId="4351C7B3" w14:textId="0E21A46C" w:rsidR="002508D4" w:rsidRDefault="00722046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722046">
        <w:rPr>
          <w:rFonts w:ascii="Arial" w:eastAsia="Times New Roman" w:hAnsi="Arial" w:cs="Arial"/>
          <w:color w:val="auto"/>
          <w:szCs w:val="20"/>
          <w:lang w:eastAsia="fr-FR"/>
        </w:rPr>
        <w:t>Soutenir les acteurs du territoire dans le développement d’une filière locale « matériaux biosourcés »</w:t>
      </w: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 </w:t>
      </w:r>
    </w:p>
    <w:p w14:paraId="60C80C3E" w14:textId="2208C69F" w:rsidR="00722046" w:rsidRDefault="00722046" w:rsidP="00F00D14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45B887F8" w14:textId="037FCB91" w:rsidR="00F00D14" w:rsidRDefault="00F00D14" w:rsidP="00F00D14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58B11D57" w14:textId="77777777" w:rsidR="00660062" w:rsidRPr="00722046" w:rsidRDefault="00660062" w:rsidP="00F00D14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3366E669" w14:textId="77777777" w:rsidR="003F1814" w:rsidRPr="003B04A1" w:rsidRDefault="003F1814" w:rsidP="003F1814">
      <w:pPr>
        <w:rPr>
          <w:rFonts w:ascii="Arial" w:hAnsi="Arial" w:cs="Arial"/>
          <w:b/>
          <w:sz w:val="24"/>
          <w:szCs w:val="20"/>
        </w:rPr>
      </w:pPr>
      <w:r w:rsidRPr="003B04A1">
        <w:rPr>
          <w:rFonts w:ascii="Arial" w:hAnsi="Arial" w:cs="Arial"/>
          <w:b/>
          <w:sz w:val="24"/>
          <w:szCs w:val="20"/>
        </w:rPr>
        <w:t>2/</w:t>
      </w:r>
      <w:r w:rsidR="00B976EA" w:rsidRPr="003B04A1">
        <w:rPr>
          <w:rFonts w:ascii="Arial" w:hAnsi="Arial" w:cs="Arial"/>
          <w:b/>
          <w:sz w:val="24"/>
          <w:szCs w:val="20"/>
        </w:rPr>
        <w:t xml:space="preserve"> </w:t>
      </w:r>
      <w:r w:rsidRPr="003B04A1">
        <w:rPr>
          <w:rFonts w:ascii="Arial" w:hAnsi="Arial" w:cs="Arial"/>
          <w:b/>
          <w:sz w:val="24"/>
          <w:szCs w:val="20"/>
        </w:rPr>
        <w:t>Mobilisation des acteurs du territoire</w:t>
      </w:r>
    </w:p>
    <w:p w14:paraId="0DA20F75" w14:textId="77777777" w:rsidR="00B976EA" w:rsidRDefault="00B976EA" w:rsidP="00B976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nombreuses entreprises, communes ou administrations démarchées dans le cadre de la COP21 rédigent actuellement leur feuille d’engagement. Il s’agit d’un engagement à mettre en place</w:t>
      </w:r>
      <w:r w:rsidR="009F72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nouvelles actions au-delà de ce qu’elles ont déjà fait</w:t>
      </w:r>
      <w:r w:rsidR="003B19D0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ces dernières années. </w:t>
      </w:r>
    </w:p>
    <w:p w14:paraId="1D37AFA8" w14:textId="0F086110" w:rsidR="00B976EA" w:rsidRDefault="00B976EA" w:rsidP="00B976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le domaine </w:t>
      </w:r>
      <w:r w:rsidR="00F00D14">
        <w:rPr>
          <w:rFonts w:ascii="Arial" w:hAnsi="Arial" w:cs="Arial"/>
          <w:sz w:val="20"/>
          <w:szCs w:val="20"/>
        </w:rPr>
        <w:t>de la construction et la rénovation bas carbone</w:t>
      </w:r>
      <w:r w:rsidR="00544C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00D14">
        <w:rPr>
          <w:rFonts w:ascii="Arial" w:hAnsi="Arial" w:cs="Arial"/>
          <w:sz w:val="20"/>
          <w:szCs w:val="20"/>
        </w:rPr>
        <w:t>les actions individuelles restent à ce stade rares. Elles relèvent essentiellement de la construction de bâtiments en bois.</w:t>
      </w:r>
    </w:p>
    <w:p w14:paraId="3B29D446" w14:textId="1A53EFAA" w:rsidR="00F00D14" w:rsidRDefault="00F00D14" w:rsidP="00B976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coalition d’action est à l’œuvre, animée par Unilasalle, avec pour objectif la mise en place d’une filière sur les éco-matériaux. Ses objectifs sont les suivants :</w:t>
      </w:r>
    </w:p>
    <w:p w14:paraId="7FEDF73F" w14:textId="53CA905B" w:rsidR="00F00D14" w:rsidRPr="00F00D14" w:rsidRDefault="00F00D14" w:rsidP="00F00D1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Principaux éco</w:t>
      </w:r>
      <w:r>
        <w:rPr>
          <w:rFonts w:ascii="Arial" w:eastAsia="Times New Roman" w:hAnsi="Arial" w:cs="Arial"/>
          <w:color w:val="auto"/>
          <w:szCs w:val="20"/>
          <w:lang w:eastAsia="fr-FR"/>
        </w:rPr>
        <w:t>-</w:t>
      </w: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 xml:space="preserve">matériaux : bétons allégés à base de chêne brut, isolants thermiques en laines de chanvre ou de lin, bois de cellulose, coton recyclé, bois </w:t>
      </w:r>
    </w:p>
    <w:p w14:paraId="67333142" w14:textId="77777777" w:rsidR="00F00D14" w:rsidRPr="00F00D14" w:rsidRDefault="00F00D14" w:rsidP="00F00D1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Apporter des éléments scientifiques sur les possibilités d’utilisation de matériaux bio-sourcés</w:t>
      </w:r>
    </w:p>
    <w:p w14:paraId="31F5971B" w14:textId="2652F31D" w:rsidR="00F00D14" w:rsidRPr="00F00D14" w:rsidRDefault="00F00D14" w:rsidP="00F00D1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Filière amont : enjeu de développement de l’agro</w:t>
      </w:r>
      <w:r w:rsidR="00C06A46">
        <w:rPr>
          <w:rFonts w:ascii="Arial" w:eastAsia="Times New Roman" w:hAnsi="Arial" w:cs="Arial"/>
          <w:color w:val="auto"/>
          <w:szCs w:val="20"/>
          <w:lang w:eastAsia="fr-FR"/>
        </w:rPr>
        <w:t>-</w:t>
      </w: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ressource, disponibilité</w:t>
      </w:r>
    </w:p>
    <w:p w14:paraId="35B2B064" w14:textId="77777777" w:rsidR="00F00D14" w:rsidRPr="00F00D14" w:rsidRDefault="00F00D14" w:rsidP="00F00D1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Filière aval : enjeux de certification des filières, viabilité économique et technique, développement de la transformation sur le territoire, formation des artisans, commercialisation/distribution</w:t>
      </w:r>
    </w:p>
    <w:p w14:paraId="2325AE0B" w14:textId="5F6DDF14" w:rsidR="00F00D14" w:rsidRDefault="00F00D14" w:rsidP="00F00D1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Enjeu global d’attractivité du territoire par une</w:t>
      </w: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 xml:space="preserve"> filière innovante, besoin de dé</w:t>
      </w:r>
      <w:r w:rsidRPr="00F00D14">
        <w:rPr>
          <w:rFonts w:ascii="Arial" w:eastAsia="Times New Roman" w:hAnsi="Arial" w:cs="Arial"/>
          <w:color w:val="auto"/>
          <w:szCs w:val="20"/>
          <w:lang w:eastAsia="fr-FR"/>
        </w:rPr>
        <w:t>monstrateurs</w:t>
      </w:r>
    </w:p>
    <w:p w14:paraId="1513ED6B" w14:textId="77777777" w:rsidR="00F00D14" w:rsidRPr="00F00D14" w:rsidRDefault="00F00D14" w:rsidP="00C06A46">
      <w:pPr>
        <w:pStyle w:val="Paragraphedeliste"/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710BF9EF" w14:textId="66A37B6F" w:rsidR="005C4A9E" w:rsidRDefault="00D84F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 question posée est celle de la </w:t>
      </w:r>
      <w:r w:rsidR="00C06A46">
        <w:rPr>
          <w:rFonts w:ascii="Arial" w:hAnsi="Arial" w:cs="Arial"/>
          <w:color w:val="000000"/>
          <w:sz w:val="20"/>
          <w:szCs w:val="20"/>
        </w:rPr>
        <w:t>structuration d’une filière pour le bois, et celle du développement des</w:t>
      </w:r>
      <w:r>
        <w:rPr>
          <w:rFonts w:ascii="Arial" w:hAnsi="Arial" w:cs="Arial"/>
          <w:color w:val="000000"/>
          <w:sz w:val="20"/>
          <w:szCs w:val="20"/>
        </w:rPr>
        <w:t xml:space="preserve"> actions</w:t>
      </w:r>
      <w:r w:rsidR="00C06A46">
        <w:rPr>
          <w:rFonts w:ascii="Arial" w:hAnsi="Arial" w:cs="Arial"/>
          <w:color w:val="000000"/>
          <w:sz w:val="20"/>
          <w:szCs w:val="20"/>
        </w:rPr>
        <w:t xml:space="preserve"> par des acteurs construisant ou rénovant un bâtiment.</w:t>
      </w:r>
    </w:p>
    <w:p w14:paraId="12123720" w14:textId="244AB8DA" w:rsidR="00544C0D" w:rsidRDefault="00544C0D">
      <w:pPr>
        <w:rPr>
          <w:rFonts w:ascii="Arial" w:hAnsi="Arial" w:cs="Arial"/>
          <w:color w:val="000000"/>
          <w:sz w:val="20"/>
          <w:szCs w:val="20"/>
        </w:rPr>
      </w:pPr>
    </w:p>
    <w:p w14:paraId="61A2546A" w14:textId="77777777" w:rsidR="00660062" w:rsidRDefault="00660062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73803C5C" w14:textId="77777777" w:rsidR="00D4117A" w:rsidRPr="005C4A9E" w:rsidRDefault="002024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4"/>
          <w:szCs w:val="20"/>
        </w:rPr>
        <w:t>3/ Freins</w:t>
      </w:r>
    </w:p>
    <w:p w14:paraId="19987D0D" w14:textId="77777777" w:rsidR="00F93F98" w:rsidRDefault="00F93F98">
      <w:pPr>
        <w:rPr>
          <w:rFonts w:ascii="Arial" w:hAnsi="Arial" w:cs="Arial"/>
          <w:sz w:val="20"/>
          <w:szCs w:val="20"/>
        </w:rPr>
      </w:pPr>
      <w:r w:rsidRPr="005B2903">
        <w:rPr>
          <w:rFonts w:ascii="Arial" w:hAnsi="Arial" w:cs="Arial"/>
          <w:sz w:val="20"/>
          <w:szCs w:val="20"/>
        </w:rPr>
        <w:t>A ce stade, les freins identifiés à la massification des actions sont les suivants :</w:t>
      </w:r>
    </w:p>
    <w:p w14:paraId="0A02174B" w14:textId="0CBAEC85" w:rsidR="00D84FD5" w:rsidRPr="00D84FD5" w:rsidRDefault="00C06A46" w:rsidP="00D84FD5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Manque de filières structurées</w:t>
      </w:r>
    </w:p>
    <w:p w14:paraId="6F47C109" w14:textId="1DE291E6" w:rsidR="00C9039F" w:rsidRDefault="00C9039F" w:rsidP="00C9039F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1803E119" w14:textId="35B03160" w:rsidR="00C9039F" w:rsidRPr="00E12804" w:rsidRDefault="00C06A46" w:rsidP="00E12804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Mauvaise connaissance des matériaux</w:t>
      </w:r>
    </w:p>
    <w:p w14:paraId="3C43A03F" w14:textId="27D23C9A" w:rsidR="00E12804" w:rsidRDefault="00C06A46" w:rsidP="00E1280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Référentiel technique des matériaux pour les professionnels</w:t>
      </w:r>
    </w:p>
    <w:p w14:paraId="0E49B91A" w14:textId="4085500E" w:rsidR="00E12804" w:rsidRDefault="00C06A46" w:rsidP="00E1280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Evolution dans le temps</w:t>
      </w:r>
    </w:p>
    <w:p w14:paraId="555D0399" w14:textId="07E44934" w:rsidR="00C06A46" w:rsidRDefault="00C06A46" w:rsidP="00E1280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Méconnaissance du grand public</w:t>
      </w:r>
    </w:p>
    <w:p w14:paraId="0125DCFD" w14:textId="2FE7C54B" w:rsidR="00E12804" w:rsidRDefault="00E12804" w:rsidP="00E12804">
      <w:pPr>
        <w:pStyle w:val="Paragraphedeliste"/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698899C6" w14:textId="19185E17" w:rsidR="00E12804" w:rsidRPr="00E12804" w:rsidRDefault="00C06A46" w:rsidP="00E12804">
      <w:pPr>
        <w:pStyle w:val="Paragraphedeliste"/>
        <w:numPr>
          <w:ilvl w:val="0"/>
          <w:numId w:val="14"/>
        </w:num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Modèle économique non stabilisé</w:t>
      </w:r>
    </w:p>
    <w:p w14:paraId="5ED6F25B" w14:textId="18FFBB62" w:rsidR="00A130C6" w:rsidRPr="00C06A46" w:rsidRDefault="00C06A46" w:rsidP="002779D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szCs w:val="20"/>
          <w:lang w:eastAsia="fr-FR"/>
        </w:rPr>
      </w:pPr>
      <w:r w:rsidRPr="00C06A46">
        <w:rPr>
          <w:rFonts w:ascii="Arial" w:eastAsia="Times New Roman" w:hAnsi="Arial" w:cs="Arial"/>
          <w:color w:val="auto"/>
          <w:szCs w:val="20"/>
          <w:lang w:eastAsia="fr-FR"/>
        </w:rPr>
        <w:t>Surcoûts</w:t>
      </w:r>
      <w:r w:rsidR="00C9039F" w:rsidRPr="00C06A46">
        <w:rPr>
          <w:rFonts w:ascii="Arial" w:eastAsia="Times New Roman" w:hAnsi="Arial" w:cs="Arial"/>
          <w:color w:val="auto"/>
          <w:szCs w:val="20"/>
          <w:lang w:eastAsia="fr-FR"/>
        </w:rPr>
        <w:t xml:space="preserve"> </w:t>
      </w:r>
    </w:p>
    <w:p w14:paraId="25C45779" w14:textId="77777777" w:rsidR="00C06A46" w:rsidRPr="00C06A46" w:rsidRDefault="00C06A46" w:rsidP="00C06A46">
      <w:pPr>
        <w:pStyle w:val="Paragraphedeliste"/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6FB95E8A" w14:textId="77F1B059" w:rsidR="00A130C6" w:rsidRDefault="00A130C6" w:rsidP="00A130C6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0E073155" w14:textId="636DBD57" w:rsidR="00C06A46" w:rsidRDefault="00C06A46" w:rsidP="00A130C6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0405AA1F" w14:textId="77777777" w:rsidR="00C06A46" w:rsidRPr="00A130C6" w:rsidRDefault="00C06A46" w:rsidP="00A130C6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7273C37B" w14:textId="77777777" w:rsidR="0020241B" w:rsidRPr="002443DE" w:rsidRDefault="0020241B" w:rsidP="002443DE">
      <w:pPr>
        <w:rPr>
          <w:rFonts w:ascii="Arial" w:hAnsi="Arial" w:cs="Arial"/>
          <w:b/>
          <w:sz w:val="24"/>
          <w:szCs w:val="20"/>
        </w:rPr>
      </w:pPr>
      <w:r w:rsidRPr="002443DE">
        <w:rPr>
          <w:rFonts w:ascii="Arial" w:hAnsi="Arial" w:cs="Arial"/>
          <w:b/>
          <w:sz w:val="24"/>
          <w:szCs w:val="20"/>
        </w:rPr>
        <w:t>4/ Quels leviers et quels acteurs mobiliser ?</w:t>
      </w:r>
    </w:p>
    <w:p w14:paraId="5E1F32C7" w14:textId="5B1DDD84" w:rsidR="0020241B" w:rsidRDefault="0020241B" w:rsidP="002443DE">
      <w:pPr>
        <w:spacing w:after="60"/>
        <w:jc w:val="both"/>
        <w:rPr>
          <w:rFonts w:ascii="Arial" w:hAnsi="Arial" w:cs="Arial"/>
          <w:sz w:val="20"/>
          <w:szCs w:val="20"/>
          <w:lang w:eastAsia="fr-FR"/>
        </w:rPr>
      </w:pPr>
      <w:r w:rsidRPr="002443DE">
        <w:rPr>
          <w:rFonts w:ascii="Arial" w:hAnsi="Arial" w:cs="Arial"/>
          <w:sz w:val="20"/>
          <w:szCs w:val="20"/>
          <w:lang w:eastAsia="fr-FR"/>
        </w:rPr>
        <w:t xml:space="preserve">Lors de la réunion du </w:t>
      </w:r>
      <w:r w:rsidR="00C06A46">
        <w:rPr>
          <w:rFonts w:ascii="Arial" w:hAnsi="Arial" w:cs="Arial"/>
          <w:sz w:val="20"/>
          <w:szCs w:val="20"/>
          <w:lang w:eastAsia="fr-FR"/>
        </w:rPr>
        <w:t>02</w:t>
      </w:r>
      <w:r w:rsidRPr="002443DE">
        <w:rPr>
          <w:rFonts w:ascii="Arial" w:hAnsi="Arial" w:cs="Arial"/>
          <w:sz w:val="20"/>
          <w:szCs w:val="20"/>
          <w:lang w:eastAsia="fr-FR"/>
        </w:rPr>
        <w:t>/</w:t>
      </w:r>
      <w:r w:rsidR="00C06A46">
        <w:rPr>
          <w:rFonts w:ascii="Arial" w:hAnsi="Arial" w:cs="Arial"/>
          <w:sz w:val="20"/>
          <w:szCs w:val="20"/>
          <w:lang w:eastAsia="fr-FR"/>
        </w:rPr>
        <w:t>10</w:t>
      </w:r>
      <w:r w:rsidRPr="002443DE">
        <w:rPr>
          <w:rFonts w:ascii="Arial" w:hAnsi="Arial" w:cs="Arial"/>
          <w:sz w:val="20"/>
          <w:szCs w:val="20"/>
          <w:lang w:eastAsia="fr-FR"/>
        </w:rPr>
        <w:t xml:space="preserve">/2018, nous vous proposerons de compléter la liste des freins et de travailler sur les </w:t>
      </w:r>
      <w:r w:rsidR="00E12804">
        <w:rPr>
          <w:rFonts w:ascii="Arial" w:hAnsi="Arial" w:cs="Arial"/>
          <w:sz w:val="20"/>
          <w:szCs w:val="20"/>
          <w:lang w:eastAsia="fr-FR"/>
        </w:rPr>
        <w:t>leviers et acteurs à mobiliser.</w:t>
      </w:r>
    </w:p>
    <w:p w14:paraId="46E27A18" w14:textId="77777777" w:rsidR="00E12804" w:rsidRPr="002443DE" w:rsidRDefault="00E12804" w:rsidP="002443DE">
      <w:pPr>
        <w:spacing w:after="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7595187F" w14:textId="77777777" w:rsidR="005C4A9E" w:rsidRDefault="005C4A9E" w:rsidP="005C4A9E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75FC396E" w14:textId="64E90253" w:rsidR="00462867" w:rsidRDefault="00462867" w:rsidP="00462867"/>
    <w:p w14:paraId="5A0B0DF5" w14:textId="0E90ABDB" w:rsidR="00A130C6" w:rsidRDefault="00A130C6" w:rsidP="00462867"/>
    <w:p w14:paraId="5F1DBBA3" w14:textId="40A539DF" w:rsidR="00A130C6" w:rsidRPr="00A130C6" w:rsidRDefault="00A130C6" w:rsidP="00A130C6">
      <w:pPr>
        <w:jc w:val="right"/>
        <w:rPr>
          <w:rFonts w:ascii="Arial" w:hAnsi="Arial" w:cs="Arial"/>
          <w:sz w:val="16"/>
        </w:rPr>
      </w:pPr>
      <w:r w:rsidRPr="00A130C6">
        <w:rPr>
          <w:rFonts w:ascii="Arial" w:hAnsi="Arial" w:cs="Arial"/>
          <w:sz w:val="16"/>
        </w:rPr>
        <w:t xml:space="preserve">Version du </w:t>
      </w:r>
      <w:r w:rsidR="00C06A46">
        <w:rPr>
          <w:rFonts w:ascii="Arial" w:hAnsi="Arial" w:cs="Arial"/>
          <w:sz w:val="16"/>
        </w:rPr>
        <w:t>28/09</w:t>
      </w:r>
      <w:r w:rsidRPr="00A130C6">
        <w:rPr>
          <w:rFonts w:ascii="Arial" w:hAnsi="Arial" w:cs="Arial"/>
          <w:sz w:val="16"/>
        </w:rPr>
        <w:t>/2018</w:t>
      </w:r>
    </w:p>
    <w:sectPr w:rsidR="00A130C6" w:rsidRPr="00A130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7260" w14:textId="77777777" w:rsidR="00CD3735" w:rsidRDefault="00CD3735" w:rsidP="002443DE">
      <w:pPr>
        <w:spacing w:after="0" w:line="240" w:lineRule="auto"/>
      </w:pPr>
      <w:r>
        <w:separator/>
      </w:r>
    </w:p>
  </w:endnote>
  <w:endnote w:type="continuationSeparator" w:id="0">
    <w:p w14:paraId="1923890D" w14:textId="77777777" w:rsidR="00CD3735" w:rsidRDefault="00CD3735" w:rsidP="0024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OT-Regular">
    <w:altName w:val="Dax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94903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B1300CB" w14:textId="77777777" w:rsidR="00A60EE5" w:rsidRDefault="00A60EE5">
        <w:pPr>
          <w:pStyle w:val="Pieddepage"/>
          <w:jc w:val="center"/>
        </w:pPr>
      </w:p>
      <w:p w14:paraId="43122404" w14:textId="2CD3A57D" w:rsidR="00A60EE5" w:rsidRDefault="00437C91">
        <w:pPr>
          <w:pStyle w:val="Pieddepage"/>
          <w:jc w:val="center"/>
          <w:rPr>
            <w:rFonts w:ascii="Arial" w:hAnsi="Arial" w:cs="Arial"/>
            <w:sz w:val="18"/>
          </w:rPr>
        </w:pPr>
        <w:r w:rsidRPr="00A60EE5">
          <w:rPr>
            <w:rFonts w:ascii="Arial" w:hAnsi="Arial" w:cs="Arial"/>
            <w:sz w:val="18"/>
          </w:rPr>
          <w:fldChar w:fldCharType="begin"/>
        </w:r>
        <w:r w:rsidRPr="00A60EE5">
          <w:rPr>
            <w:rFonts w:ascii="Arial" w:hAnsi="Arial" w:cs="Arial"/>
            <w:sz w:val="18"/>
          </w:rPr>
          <w:instrText>PAGE   \* MERGEFORMAT</w:instrText>
        </w:r>
        <w:r w:rsidRPr="00A60EE5">
          <w:rPr>
            <w:rFonts w:ascii="Arial" w:hAnsi="Arial" w:cs="Arial"/>
            <w:sz w:val="18"/>
          </w:rPr>
          <w:fldChar w:fldCharType="separate"/>
        </w:r>
        <w:r w:rsidR="00660062">
          <w:rPr>
            <w:rFonts w:ascii="Arial" w:hAnsi="Arial" w:cs="Arial"/>
            <w:noProof/>
            <w:sz w:val="18"/>
          </w:rPr>
          <w:t>3</w:t>
        </w:r>
        <w:r w:rsidRPr="00A60EE5">
          <w:rPr>
            <w:rFonts w:ascii="Arial" w:hAnsi="Arial" w:cs="Arial"/>
            <w:sz w:val="18"/>
          </w:rPr>
          <w:fldChar w:fldCharType="end"/>
        </w:r>
      </w:p>
      <w:p w14:paraId="29FC971B" w14:textId="77777777" w:rsidR="00437C91" w:rsidRPr="002508D4" w:rsidRDefault="00A60EE5" w:rsidP="002508D4">
        <w:pPr>
          <w:pStyle w:val="Pieddepage"/>
          <w:jc w:val="center"/>
          <w:rPr>
            <w:rFonts w:ascii="Arial" w:hAnsi="Arial" w:cs="Arial"/>
            <w:sz w:val="18"/>
          </w:rPr>
        </w:pPr>
        <w:r w:rsidRPr="00A60EE5">
          <w:rPr>
            <w:rFonts w:ascii="Arial" w:hAnsi="Arial" w:cs="Arial"/>
            <w:noProof/>
            <w:sz w:val="18"/>
            <w:lang w:eastAsia="fr-FR"/>
          </w:rPr>
          <w:drawing>
            <wp:inline distT="0" distB="0" distL="0" distR="0" wp14:anchorId="308592DA" wp14:editId="0F5F72CA">
              <wp:extent cx="1935480" cy="1040918"/>
              <wp:effectExtent l="0" t="0" r="7620" b="6985"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3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t="50553" r="35877"/>
                      <a:stretch/>
                    </pic:blipFill>
                    <pic:spPr>
                      <a:xfrm>
                        <a:off x="0" y="0"/>
                        <a:ext cx="1960716" cy="105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508D4" w:rsidRPr="002508D4">
          <w:rPr>
            <w:rFonts w:ascii="Arial" w:hAnsi="Arial" w:cs="Arial"/>
            <w:noProof/>
            <w:sz w:val="18"/>
            <w:lang w:eastAsia="fr-FR"/>
          </w:rPr>
          <w:drawing>
            <wp:inline distT="0" distB="0" distL="0" distR="0" wp14:anchorId="5BC36EB2" wp14:editId="737A8F28">
              <wp:extent cx="1790700" cy="658154"/>
              <wp:effectExtent l="0" t="0" r="0" b="8890"/>
              <wp:docPr id="5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4"/>
                      <pic:cNvPicPr>
                        <a:picLocks noChangeAspect="1"/>
                      </pic:cNvPicPr>
                    </pic:nvPicPr>
                    <pic:blipFill rotWithShape="1">
                      <a:blip r:embed="rId2"/>
                      <a:srcRect l="406"/>
                      <a:stretch/>
                    </pic:blipFill>
                    <pic:spPr>
                      <a:xfrm>
                        <a:off x="0" y="0"/>
                        <a:ext cx="1815149" cy="667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36BC2" w14:textId="77777777" w:rsidR="00CD3735" w:rsidRDefault="00CD3735" w:rsidP="002443DE">
      <w:pPr>
        <w:spacing w:after="0" w:line="240" w:lineRule="auto"/>
      </w:pPr>
      <w:r>
        <w:separator/>
      </w:r>
    </w:p>
  </w:footnote>
  <w:footnote w:type="continuationSeparator" w:id="0">
    <w:p w14:paraId="2373632D" w14:textId="77777777" w:rsidR="00CD3735" w:rsidRDefault="00CD3735" w:rsidP="0024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166B" w14:textId="77777777" w:rsidR="00A60EE5" w:rsidRDefault="00A60EE5" w:rsidP="002508D4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00000018"/>
    <w:name w:val="WWNum31"/>
    <w:lvl w:ilvl="0">
      <w:start w:val="8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DaxOT-Regular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2BC745A"/>
    <w:multiLevelType w:val="hybridMultilevel"/>
    <w:tmpl w:val="9B4082DA"/>
    <w:lvl w:ilvl="0" w:tplc="96CA3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44FC"/>
    <w:multiLevelType w:val="hybridMultilevel"/>
    <w:tmpl w:val="8D266B5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606CA"/>
    <w:multiLevelType w:val="hybridMultilevel"/>
    <w:tmpl w:val="66DEB9BE"/>
    <w:lvl w:ilvl="0" w:tplc="55BC6296">
      <w:numFmt w:val="bullet"/>
      <w:lvlText w:val="-"/>
      <w:lvlJc w:val="left"/>
      <w:pPr>
        <w:ind w:left="720" w:hanging="360"/>
      </w:pPr>
      <w:rPr>
        <w:rFonts w:ascii="Calibri" w:eastAsiaTheme="minorHAnsi" w:hAnsi="Calibri" w:cs="DaxOT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AFB"/>
    <w:multiLevelType w:val="hybridMultilevel"/>
    <w:tmpl w:val="886621D6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3EB9"/>
    <w:multiLevelType w:val="hybridMultilevel"/>
    <w:tmpl w:val="079A15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43C03"/>
    <w:multiLevelType w:val="hybridMultilevel"/>
    <w:tmpl w:val="108C4B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AE4"/>
    <w:multiLevelType w:val="hybridMultilevel"/>
    <w:tmpl w:val="825CA938"/>
    <w:lvl w:ilvl="0" w:tplc="33C20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63DC5"/>
    <w:multiLevelType w:val="hybridMultilevel"/>
    <w:tmpl w:val="9E22217C"/>
    <w:lvl w:ilvl="0" w:tplc="09182B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B461D"/>
    <w:multiLevelType w:val="hybridMultilevel"/>
    <w:tmpl w:val="751EA430"/>
    <w:lvl w:ilvl="0" w:tplc="C3DC7E8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50D7A"/>
    <w:multiLevelType w:val="hybridMultilevel"/>
    <w:tmpl w:val="25DA9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C71AF"/>
    <w:multiLevelType w:val="hybridMultilevel"/>
    <w:tmpl w:val="21424736"/>
    <w:lvl w:ilvl="0" w:tplc="11AEB16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B71E7"/>
    <w:multiLevelType w:val="hybridMultilevel"/>
    <w:tmpl w:val="E9DAD8C4"/>
    <w:lvl w:ilvl="0" w:tplc="33C20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02E2A"/>
    <w:multiLevelType w:val="hybridMultilevel"/>
    <w:tmpl w:val="86165BC8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91ECC"/>
    <w:multiLevelType w:val="hybridMultilevel"/>
    <w:tmpl w:val="76448DF2"/>
    <w:lvl w:ilvl="0" w:tplc="C130DA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428A"/>
    <w:multiLevelType w:val="hybridMultilevel"/>
    <w:tmpl w:val="EA5EC680"/>
    <w:lvl w:ilvl="0" w:tplc="893A02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A15F9"/>
    <w:multiLevelType w:val="hybridMultilevel"/>
    <w:tmpl w:val="2D185834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E35E2"/>
    <w:multiLevelType w:val="hybridMultilevel"/>
    <w:tmpl w:val="B538B40A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5237D"/>
    <w:multiLevelType w:val="hybridMultilevel"/>
    <w:tmpl w:val="481CDA78"/>
    <w:lvl w:ilvl="0" w:tplc="8AE287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DaxOT-Regular" w:hint="default"/>
        <w:b w:val="0"/>
        <w:color w:val="1F4E79" w:themeColor="accent1" w:themeShade="80"/>
        <w:sz w:val="20"/>
      </w:rPr>
    </w:lvl>
    <w:lvl w:ilvl="1" w:tplc="074A209A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56CB4"/>
    <w:multiLevelType w:val="hybridMultilevel"/>
    <w:tmpl w:val="F5068A4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008B"/>
    <w:multiLevelType w:val="hybridMultilevel"/>
    <w:tmpl w:val="16B43B5A"/>
    <w:lvl w:ilvl="0" w:tplc="C762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09D6"/>
    <w:multiLevelType w:val="hybridMultilevel"/>
    <w:tmpl w:val="F1025C56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2"/>
  </w:num>
  <w:num w:numId="10">
    <w:abstractNumId w:val="21"/>
  </w:num>
  <w:num w:numId="11">
    <w:abstractNumId w:val="13"/>
  </w:num>
  <w:num w:numId="12">
    <w:abstractNumId w:val="8"/>
  </w:num>
  <w:num w:numId="13">
    <w:abstractNumId w:val="6"/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11"/>
  </w:num>
  <w:num w:numId="20">
    <w:abstractNumId w:val="0"/>
  </w:num>
  <w:num w:numId="21">
    <w:abstractNumId w:val="17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71"/>
    <w:rsid w:val="000771DC"/>
    <w:rsid w:val="00096FDC"/>
    <w:rsid w:val="000A3B0E"/>
    <w:rsid w:val="00106971"/>
    <w:rsid w:val="00190B04"/>
    <w:rsid w:val="001916C6"/>
    <w:rsid w:val="001B6CCD"/>
    <w:rsid w:val="0020241B"/>
    <w:rsid w:val="002443DE"/>
    <w:rsid w:val="002508D4"/>
    <w:rsid w:val="002A5085"/>
    <w:rsid w:val="003B04A1"/>
    <w:rsid w:val="003B19D0"/>
    <w:rsid w:val="003F1814"/>
    <w:rsid w:val="00422B81"/>
    <w:rsid w:val="00437C91"/>
    <w:rsid w:val="00462867"/>
    <w:rsid w:val="004A0E19"/>
    <w:rsid w:val="004E2B40"/>
    <w:rsid w:val="00535876"/>
    <w:rsid w:val="00544C0D"/>
    <w:rsid w:val="00573D01"/>
    <w:rsid w:val="005769A1"/>
    <w:rsid w:val="005B2903"/>
    <w:rsid w:val="005C4A9E"/>
    <w:rsid w:val="00640A22"/>
    <w:rsid w:val="0064777A"/>
    <w:rsid w:val="00660062"/>
    <w:rsid w:val="006663A2"/>
    <w:rsid w:val="006F6BCF"/>
    <w:rsid w:val="00722046"/>
    <w:rsid w:val="007B4111"/>
    <w:rsid w:val="00812A73"/>
    <w:rsid w:val="00883EF7"/>
    <w:rsid w:val="008E23D5"/>
    <w:rsid w:val="00976CB2"/>
    <w:rsid w:val="00993D39"/>
    <w:rsid w:val="009F7293"/>
    <w:rsid w:val="00A130C6"/>
    <w:rsid w:val="00A4172F"/>
    <w:rsid w:val="00A60EE5"/>
    <w:rsid w:val="00AD0D46"/>
    <w:rsid w:val="00AD3B64"/>
    <w:rsid w:val="00B0580A"/>
    <w:rsid w:val="00B976EA"/>
    <w:rsid w:val="00BD38FC"/>
    <w:rsid w:val="00C06A46"/>
    <w:rsid w:val="00C83C31"/>
    <w:rsid w:val="00C9039F"/>
    <w:rsid w:val="00CD3735"/>
    <w:rsid w:val="00D4117A"/>
    <w:rsid w:val="00D84FD5"/>
    <w:rsid w:val="00E12804"/>
    <w:rsid w:val="00E576F8"/>
    <w:rsid w:val="00F00D14"/>
    <w:rsid w:val="00F17335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78A03"/>
  <w15:docId w15:val="{4497A894-29E2-4590-8630-6D8C4925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exte de base,6 pt paragraphe carré,texte tableau,Paragraphe de liste num,Paragraphe de liste 1,Listes,Legende,Tab n1,Puce focus,Contact,calia titre 3,Titre 1 Car1,armelle Car,Ondertekst Avida,Paragraphe de liste2,List Paragraph,lp1"/>
    <w:basedOn w:val="Normal"/>
    <w:link w:val="ParagraphedelisteCar"/>
    <w:uiPriority w:val="34"/>
    <w:qFormat/>
    <w:rsid w:val="00D4117A"/>
    <w:pPr>
      <w:spacing w:after="120" w:line="240" w:lineRule="auto"/>
      <w:ind w:left="720"/>
      <w:contextualSpacing/>
      <w:jc w:val="both"/>
    </w:pPr>
    <w:rPr>
      <w:rFonts w:cs="DaxOT-Regular"/>
      <w:color w:val="000000"/>
      <w:sz w:val="20"/>
      <w:szCs w:val="18"/>
    </w:rPr>
  </w:style>
  <w:style w:type="character" w:customStyle="1" w:styleId="ParagraphedelisteCar">
    <w:name w:val="Paragraphe de liste Car"/>
    <w:aliases w:val="texte de base Car,6 pt paragraphe carré Car,texte tableau Car,Paragraphe de liste num Car,Paragraphe de liste 1 Car,Listes Car,Legende Car,Tab n1 Car,Puce focus Car,Contact Car,calia titre 3 Car,Titre 1 Car1 Car,armelle Car Car"/>
    <w:basedOn w:val="Policepardfaut"/>
    <w:link w:val="Paragraphedeliste"/>
    <w:uiPriority w:val="34"/>
    <w:qFormat/>
    <w:locked/>
    <w:rsid w:val="00D4117A"/>
    <w:rPr>
      <w:rFonts w:cs="DaxOT-Regular"/>
      <w:color w:val="000000"/>
      <w:sz w:val="20"/>
      <w:szCs w:val="18"/>
    </w:rPr>
  </w:style>
  <w:style w:type="paragraph" w:styleId="En-tte">
    <w:name w:val="header"/>
    <w:basedOn w:val="Normal"/>
    <w:link w:val="En-tteCar"/>
    <w:uiPriority w:val="99"/>
    <w:unhideWhenUsed/>
    <w:rsid w:val="0024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3DE"/>
  </w:style>
  <w:style w:type="paragraph" w:styleId="Pieddepage">
    <w:name w:val="footer"/>
    <w:basedOn w:val="Normal"/>
    <w:link w:val="PieddepageCar"/>
    <w:uiPriority w:val="99"/>
    <w:unhideWhenUsed/>
    <w:rsid w:val="0024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3DE"/>
  </w:style>
  <w:style w:type="table" w:styleId="Grilledutableau">
    <w:name w:val="Table Grid"/>
    <w:basedOn w:val="TableauNormal"/>
    <w:uiPriority w:val="39"/>
    <w:rsid w:val="0025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29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1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9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9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5721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Metropole rouen normandie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GRANDOU Agnès</dc:creator>
  <cp:lastModifiedBy>GRANDOU Agnès</cp:lastModifiedBy>
  <cp:revision>4</cp:revision>
  <dcterms:created xsi:type="dcterms:W3CDTF">2018-09-28T12:41:00Z</dcterms:created>
  <dcterms:modified xsi:type="dcterms:W3CDTF">2018-09-28T13:30:00Z</dcterms:modified>
</cp:coreProperties>
</file>